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000" w:firstRow="0" w:lastRow="0" w:firstColumn="0" w:lastColumn="0" w:noHBand="0" w:noVBand="0"/>
      </w:tblPr>
      <w:tblGrid>
        <w:gridCol w:w="2254"/>
        <w:gridCol w:w="6746"/>
      </w:tblGrid>
      <w:tr w:rsidR="001937AE">
        <w:tblPrEx>
          <w:tblCellMar>
            <w:top w:w="0" w:type="dxa"/>
            <w:bottom w:w="0" w:type="dxa"/>
          </w:tblCellMar>
        </w:tblPrEx>
        <w:trPr>
          <w:tblCellSpacing w:w="60" w:type="dxa"/>
        </w:trPr>
        <w:tc>
          <w:tcPr>
            <w:tcW w:w="1200" w:type="pct"/>
            <w:shd w:val="clear" w:color="auto" w:fill="E7F0F9"/>
          </w:tcPr>
          <w:p w:rsidR="001937AE" w:rsidRDefault="007C57CE">
            <w:pPr>
              <w:spacing w:after="0" w:line="240" w:lineRule="auto"/>
            </w:pPr>
            <w:bookmarkStart w:id="0" w:name="_GoBack"/>
            <w:bookmarkEnd w:id="0"/>
            <w:r>
              <w:rPr>
                <w:b/>
              </w:rPr>
              <w:t>RKP broj</w:t>
            </w:r>
          </w:p>
        </w:tc>
        <w:tc>
          <w:tcPr>
            <w:tcW w:w="0" w:type="auto"/>
            <w:shd w:val="clear" w:color="auto" w:fill="E7F0F9"/>
          </w:tcPr>
          <w:p w:rsidR="001937AE" w:rsidRDefault="007C57CE">
            <w:pPr>
              <w:spacing w:after="0" w:line="240" w:lineRule="auto"/>
            </w:pPr>
            <w:r>
              <w:t>29767</w:t>
            </w:r>
          </w:p>
        </w:tc>
      </w:tr>
      <w:tr w:rsidR="001937AE">
        <w:tblPrEx>
          <w:tblCellMar>
            <w:top w:w="0" w:type="dxa"/>
            <w:bottom w:w="0" w:type="dxa"/>
          </w:tblCellMar>
        </w:tblPrEx>
        <w:trPr>
          <w:tblCellSpacing w:w="60" w:type="dxa"/>
        </w:trPr>
        <w:tc>
          <w:tcPr>
            <w:tcW w:w="1200" w:type="pct"/>
            <w:shd w:val="clear" w:color="auto" w:fill="E7F0F9"/>
          </w:tcPr>
          <w:p w:rsidR="001937AE" w:rsidRDefault="007C57CE">
            <w:pPr>
              <w:spacing w:after="0" w:line="240" w:lineRule="auto"/>
            </w:pPr>
            <w:r>
              <w:rPr>
                <w:b/>
              </w:rPr>
              <w:t>Naziv obveznika</w:t>
            </w:r>
          </w:p>
        </w:tc>
        <w:tc>
          <w:tcPr>
            <w:tcW w:w="0" w:type="auto"/>
            <w:shd w:val="clear" w:color="auto" w:fill="E7F0F9"/>
          </w:tcPr>
          <w:p w:rsidR="001937AE" w:rsidRDefault="007C57CE">
            <w:pPr>
              <w:spacing w:after="0" w:line="240" w:lineRule="auto"/>
            </w:pPr>
            <w:r>
              <w:t>PRIRODOSLOVNI MUZEJ RIJEKA</w:t>
            </w:r>
          </w:p>
        </w:tc>
      </w:tr>
      <w:tr w:rsidR="001937AE">
        <w:tblPrEx>
          <w:tblCellMar>
            <w:top w:w="0" w:type="dxa"/>
            <w:bottom w:w="0" w:type="dxa"/>
          </w:tblCellMar>
        </w:tblPrEx>
        <w:trPr>
          <w:tblCellSpacing w:w="60" w:type="dxa"/>
        </w:trPr>
        <w:tc>
          <w:tcPr>
            <w:tcW w:w="1200" w:type="pct"/>
            <w:shd w:val="clear" w:color="auto" w:fill="E7F0F9"/>
          </w:tcPr>
          <w:p w:rsidR="001937AE" w:rsidRDefault="007C57CE">
            <w:pPr>
              <w:spacing w:after="0" w:line="240" w:lineRule="auto"/>
            </w:pPr>
            <w:r>
              <w:rPr>
                <w:b/>
              </w:rPr>
              <w:t>Razina</w:t>
            </w:r>
          </w:p>
        </w:tc>
        <w:tc>
          <w:tcPr>
            <w:tcW w:w="0" w:type="auto"/>
            <w:shd w:val="clear" w:color="auto" w:fill="E7F0F9"/>
          </w:tcPr>
          <w:p w:rsidR="001937AE" w:rsidRDefault="007C57CE">
            <w:pPr>
              <w:spacing w:after="0" w:line="240" w:lineRule="auto"/>
            </w:pPr>
            <w:r>
              <w:t>21</w:t>
            </w:r>
          </w:p>
        </w:tc>
      </w:tr>
    </w:tbl>
    <w:p w:rsidR="001937AE" w:rsidRDefault="007C57CE">
      <w:r>
        <w:br/>
      </w:r>
    </w:p>
    <w:p w:rsidR="001937AE" w:rsidRDefault="007C57CE">
      <w:pPr>
        <w:spacing w:line="240" w:lineRule="auto"/>
        <w:jc w:val="center"/>
      </w:pPr>
      <w:r>
        <w:rPr>
          <w:b/>
          <w:sz w:val="28"/>
        </w:rPr>
        <w:t>BILJEŠKE UZ FINANCIJSKE IZVJEŠTAJE</w:t>
      </w:r>
    </w:p>
    <w:p w:rsidR="001937AE" w:rsidRDefault="007C57CE">
      <w:pPr>
        <w:spacing w:line="240" w:lineRule="auto"/>
        <w:jc w:val="center"/>
      </w:pPr>
      <w:r>
        <w:rPr>
          <w:b/>
          <w:sz w:val="28"/>
        </w:rPr>
        <w:t>ZA RAZDOBLJE</w:t>
      </w:r>
    </w:p>
    <w:p w:rsidR="001937AE" w:rsidRDefault="007C57CE">
      <w:pPr>
        <w:spacing w:line="240" w:lineRule="auto"/>
        <w:jc w:val="center"/>
      </w:pPr>
      <w:r>
        <w:rPr>
          <w:b/>
          <w:sz w:val="28"/>
        </w:rPr>
        <w:t>I - XII 2025.</w:t>
      </w:r>
    </w:p>
    <w:p w:rsidR="001937AE" w:rsidRDefault="001937AE"/>
    <w:p w:rsidR="001937AE" w:rsidRDefault="007C57CE">
      <w:pPr>
        <w:keepNext/>
        <w:spacing w:line="240" w:lineRule="auto"/>
        <w:jc w:val="center"/>
      </w:pPr>
      <w:r>
        <w:rPr>
          <w:b/>
          <w:sz w:val="28"/>
        </w:rPr>
        <w:t>Izvještaj o prihodima i rashodima, primicima i izdacima</w:t>
      </w:r>
    </w:p>
    <w:p w:rsidR="001937AE" w:rsidRDefault="007C57CE">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w:t>
            </w:r>
          </w:p>
        </w:tc>
        <w:tc>
          <w:tcPr>
            <w:tcW w:w="3180" w:type="dxa"/>
            <w:tcMar>
              <w:top w:w="0" w:type="dxa"/>
              <w:bottom w:w="0" w:type="dxa"/>
            </w:tcMar>
            <w:vAlign w:val="center"/>
          </w:tcPr>
          <w:p w:rsidR="001937AE" w:rsidRDefault="007C57CE">
            <w:pPr>
              <w:keepNext/>
              <w:keepLines/>
              <w:spacing w:after="0" w:line="240" w:lineRule="auto"/>
            </w:pPr>
            <w:r>
              <w:rPr>
                <w:sz w:val="18"/>
              </w:rPr>
              <w:t>PRIHODI POSLOVANJA (šifre 61+62+63+64+65+66+67+68)</w:t>
            </w:r>
          </w:p>
        </w:tc>
        <w:tc>
          <w:tcPr>
            <w:tcW w:w="700" w:type="dxa"/>
            <w:tcMar>
              <w:top w:w="0" w:type="dxa"/>
              <w:bottom w:w="0" w:type="dxa"/>
            </w:tcMar>
            <w:vAlign w:val="center"/>
          </w:tcPr>
          <w:p w:rsidR="001937AE" w:rsidRDefault="007C57CE">
            <w:pPr>
              <w:keepNext/>
              <w:keepLines/>
              <w:spacing w:after="0" w:line="240" w:lineRule="auto"/>
            </w:pPr>
            <w:r>
              <w:rPr>
                <w:sz w:val="18"/>
              </w:rPr>
              <w:t>6</w:t>
            </w:r>
          </w:p>
        </w:tc>
        <w:tc>
          <w:tcPr>
            <w:tcW w:w="1860" w:type="dxa"/>
            <w:tcMar>
              <w:top w:w="0" w:type="dxa"/>
              <w:bottom w:w="0" w:type="dxa"/>
            </w:tcMar>
            <w:vAlign w:val="center"/>
          </w:tcPr>
          <w:p w:rsidR="001937AE" w:rsidRDefault="007C57CE">
            <w:pPr>
              <w:keepNext/>
              <w:keepLines/>
              <w:spacing w:after="0" w:line="240" w:lineRule="auto"/>
              <w:jc w:val="right"/>
            </w:pPr>
            <w:r>
              <w:rPr>
                <w:sz w:val="18"/>
              </w:rPr>
              <w:t>772.848,81</w:t>
            </w:r>
          </w:p>
        </w:tc>
        <w:tc>
          <w:tcPr>
            <w:tcW w:w="1860" w:type="dxa"/>
            <w:tcMar>
              <w:top w:w="0" w:type="dxa"/>
              <w:bottom w:w="0" w:type="dxa"/>
            </w:tcMar>
            <w:vAlign w:val="center"/>
          </w:tcPr>
          <w:p w:rsidR="001937AE" w:rsidRDefault="007C57CE">
            <w:pPr>
              <w:keepNext/>
              <w:keepLines/>
              <w:spacing w:after="0" w:line="240" w:lineRule="auto"/>
              <w:jc w:val="right"/>
            </w:pPr>
            <w:r>
              <w:rPr>
                <w:sz w:val="18"/>
              </w:rPr>
              <w:t>1.281.724,90</w:t>
            </w:r>
          </w:p>
        </w:tc>
        <w:tc>
          <w:tcPr>
            <w:tcW w:w="700" w:type="dxa"/>
            <w:tcMar>
              <w:top w:w="0" w:type="dxa"/>
              <w:bottom w:w="0" w:type="dxa"/>
            </w:tcMar>
            <w:vAlign w:val="center"/>
          </w:tcPr>
          <w:p w:rsidR="001937AE" w:rsidRDefault="007C57CE">
            <w:pPr>
              <w:keepNext/>
              <w:keepLines/>
              <w:spacing w:after="0" w:line="240" w:lineRule="auto"/>
              <w:jc w:val="right"/>
            </w:pPr>
            <w:r>
              <w:rPr>
                <w:sz w:val="18"/>
              </w:rPr>
              <w:t>165,8</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w:t>
            </w:r>
          </w:p>
        </w:tc>
        <w:tc>
          <w:tcPr>
            <w:tcW w:w="3180" w:type="dxa"/>
            <w:tcMar>
              <w:top w:w="0" w:type="dxa"/>
              <w:bottom w:w="0" w:type="dxa"/>
            </w:tcMar>
            <w:vAlign w:val="center"/>
          </w:tcPr>
          <w:p w:rsidR="001937AE" w:rsidRDefault="007C57CE">
            <w:pPr>
              <w:keepNext/>
              <w:keepLines/>
              <w:spacing w:after="0" w:line="240" w:lineRule="auto"/>
            </w:pPr>
            <w:r>
              <w:rPr>
                <w:sz w:val="18"/>
              </w:rPr>
              <w:t>RASHODI POSLOVANJA (šifre 31+32+34+35+36+37+38)</w:t>
            </w:r>
          </w:p>
        </w:tc>
        <w:tc>
          <w:tcPr>
            <w:tcW w:w="700" w:type="dxa"/>
            <w:tcMar>
              <w:top w:w="0" w:type="dxa"/>
              <w:bottom w:w="0" w:type="dxa"/>
            </w:tcMar>
            <w:vAlign w:val="center"/>
          </w:tcPr>
          <w:p w:rsidR="001937AE" w:rsidRDefault="007C57CE">
            <w:pPr>
              <w:keepNext/>
              <w:keepLines/>
              <w:spacing w:after="0" w:line="240" w:lineRule="auto"/>
            </w:pPr>
            <w:r>
              <w:rPr>
                <w:sz w:val="18"/>
              </w:rPr>
              <w:t>3</w:t>
            </w:r>
          </w:p>
        </w:tc>
        <w:tc>
          <w:tcPr>
            <w:tcW w:w="1860" w:type="dxa"/>
            <w:tcMar>
              <w:top w:w="0" w:type="dxa"/>
              <w:bottom w:w="0" w:type="dxa"/>
            </w:tcMar>
            <w:vAlign w:val="center"/>
          </w:tcPr>
          <w:p w:rsidR="001937AE" w:rsidRDefault="007C57CE">
            <w:pPr>
              <w:keepNext/>
              <w:keepLines/>
              <w:spacing w:after="0" w:line="240" w:lineRule="auto"/>
              <w:jc w:val="right"/>
            </w:pPr>
            <w:r>
              <w:rPr>
                <w:sz w:val="18"/>
              </w:rPr>
              <w:t>721.176,37</w:t>
            </w:r>
          </w:p>
        </w:tc>
        <w:tc>
          <w:tcPr>
            <w:tcW w:w="1860" w:type="dxa"/>
            <w:tcMar>
              <w:top w:w="0" w:type="dxa"/>
              <w:bottom w:w="0" w:type="dxa"/>
            </w:tcMar>
            <w:vAlign w:val="center"/>
          </w:tcPr>
          <w:p w:rsidR="001937AE" w:rsidRDefault="007C57CE">
            <w:pPr>
              <w:keepNext/>
              <w:keepLines/>
              <w:spacing w:after="0" w:line="240" w:lineRule="auto"/>
              <w:jc w:val="right"/>
            </w:pPr>
            <w:r>
              <w:rPr>
                <w:sz w:val="18"/>
              </w:rPr>
              <w:t>1.207.884,21</w:t>
            </w:r>
          </w:p>
        </w:tc>
        <w:tc>
          <w:tcPr>
            <w:tcW w:w="700" w:type="dxa"/>
            <w:tcMar>
              <w:top w:w="0" w:type="dxa"/>
              <w:bottom w:w="0" w:type="dxa"/>
            </w:tcMar>
            <w:vAlign w:val="center"/>
          </w:tcPr>
          <w:p w:rsidR="001937AE" w:rsidRDefault="007C57CE">
            <w:pPr>
              <w:keepNext/>
              <w:keepLines/>
              <w:spacing w:after="0" w:line="240" w:lineRule="auto"/>
              <w:jc w:val="right"/>
            </w:pPr>
            <w:r>
              <w:rPr>
                <w:sz w:val="18"/>
              </w:rPr>
              <w:t>167,5</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b/>
                <w:sz w:val="18"/>
              </w:rPr>
              <w:t>VIŠAK PRIHODA POSLOVANJA (šifre 6-Z005)</w:t>
            </w:r>
          </w:p>
        </w:tc>
        <w:tc>
          <w:tcPr>
            <w:tcW w:w="700" w:type="dxa"/>
            <w:tcMar>
              <w:top w:w="0" w:type="dxa"/>
              <w:bottom w:w="0" w:type="dxa"/>
            </w:tcMar>
            <w:vAlign w:val="center"/>
          </w:tcPr>
          <w:p w:rsidR="001937AE" w:rsidRDefault="007C57CE">
            <w:pPr>
              <w:keepNext/>
              <w:keepLines/>
              <w:spacing w:after="0" w:line="240" w:lineRule="auto"/>
            </w:pPr>
            <w:r>
              <w:rPr>
                <w:b/>
                <w:sz w:val="18"/>
              </w:rPr>
              <w:t>X001</w:t>
            </w:r>
          </w:p>
        </w:tc>
        <w:tc>
          <w:tcPr>
            <w:tcW w:w="1860" w:type="dxa"/>
            <w:tcMar>
              <w:top w:w="0" w:type="dxa"/>
              <w:bottom w:w="0" w:type="dxa"/>
            </w:tcMar>
            <w:vAlign w:val="center"/>
          </w:tcPr>
          <w:p w:rsidR="001937AE" w:rsidRDefault="007C57CE">
            <w:pPr>
              <w:keepNext/>
              <w:keepLines/>
              <w:spacing w:after="0" w:line="240" w:lineRule="auto"/>
              <w:jc w:val="right"/>
            </w:pPr>
            <w:r>
              <w:rPr>
                <w:b/>
                <w:sz w:val="18"/>
              </w:rPr>
              <w:t>51.672,44</w:t>
            </w:r>
          </w:p>
        </w:tc>
        <w:tc>
          <w:tcPr>
            <w:tcW w:w="1860" w:type="dxa"/>
            <w:tcMar>
              <w:top w:w="0" w:type="dxa"/>
              <w:bottom w:w="0" w:type="dxa"/>
            </w:tcMar>
            <w:vAlign w:val="center"/>
          </w:tcPr>
          <w:p w:rsidR="001937AE" w:rsidRDefault="007C57CE">
            <w:pPr>
              <w:keepNext/>
              <w:keepLines/>
              <w:spacing w:after="0" w:line="240" w:lineRule="auto"/>
              <w:jc w:val="right"/>
            </w:pPr>
            <w:r>
              <w:rPr>
                <w:b/>
                <w:sz w:val="18"/>
              </w:rPr>
              <w:t>73.840,69</w:t>
            </w:r>
          </w:p>
        </w:tc>
        <w:tc>
          <w:tcPr>
            <w:tcW w:w="700" w:type="dxa"/>
            <w:tcMar>
              <w:top w:w="0" w:type="dxa"/>
              <w:bottom w:w="0" w:type="dxa"/>
            </w:tcMar>
            <w:vAlign w:val="center"/>
          </w:tcPr>
          <w:p w:rsidR="001937AE" w:rsidRDefault="007C57CE">
            <w:pPr>
              <w:keepNext/>
              <w:keepLines/>
              <w:spacing w:after="0" w:line="240" w:lineRule="auto"/>
              <w:jc w:val="right"/>
            </w:pPr>
            <w:r>
              <w:rPr>
                <w:b/>
                <w:sz w:val="18"/>
              </w:rPr>
              <w:t>142,9</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7</w:t>
            </w:r>
          </w:p>
        </w:tc>
        <w:tc>
          <w:tcPr>
            <w:tcW w:w="3180" w:type="dxa"/>
            <w:tcMar>
              <w:top w:w="0" w:type="dxa"/>
              <w:bottom w:w="0" w:type="dxa"/>
            </w:tcMar>
            <w:vAlign w:val="center"/>
          </w:tcPr>
          <w:p w:rsidR="001937AE" w:rsidRDefault="007C57CE">
            <w:pPr>
              <w:keepNext/>
              <w:keepLines/>
              <w:spacing w:after="0" w:line="240" w:lineRule="auto"/>
            </w:pPr>
            <w:r>
              <w:rPr>
                <w:sz w:val="18"/>
              </w:rPr>
              <w:t>Prihodi od prodaje nefinancijske imovine (šifre 71+72+73+74)</w:t>
            </w:r>
          </w:p>
        </w:tc>
        <w:tc>
          <w:tcPr>
            <w:tcW w:w="700" w:type="dxa"/>
            <w:tcMar>
              <w:top w:w="0" w:type="dxa"/>
              <w:bottom w:w="0" w:type="dxa"/>
            </w:tcMar>
            <w:vAlign w:val="center"/>
          </w:tcPr>
          <w:p w:rsidR="001937AE" w:rsidRDefault="007C57CE">
            <w:pPr>
              <w:keepNext/>
              <w:keepLines/>
              <w:spacing w:after="0" w:line="240" w:lineRule="auto"/>
            </w:pPr>
            <w:r>
              <w:rPr>
                <w:sz w:val="18"/>
              </w:rPr>
              <w:t>7</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4</w:t>
            </w:r>
          </w:p>
        </w:tc>
        <w:tc>
          <w:tcPr>
            <w:tcW w:w="3180" w:type="dxa"/>
            <w:tcMar>
              <w:top w:w="0" w:type="dxa"/>
              <w:bottom w:w="0" w:type="dxa"/>
            </w:tcMar>
            <w:vAlign w:val="center"/>
          </w:tcPr>
          <w:p w:rsidR="001937AE" w:rsidRDefault="007C57CE">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rsidR="001937AE" w:rsidRDefault="007C57CE">
            <w:pPr>
              <w:keepNext/>
              <w:keepLines/>
              <w:spacing w:after="0" w:line="240" w:lineRule="auto"/>
            </w:pPr>
            <w:r>
              <w:rPr>
                <w:sz w:val="18"/>
              </w:rPr>
              <w:t>4</w:t>
            </w:r>
          </w:p>
        </w:tc>
        <w:tc>
          <w:tcPr>
            <w:tcW w:w="1860" w:type="dxa"/>
            <w:tcMar>
              <w:top w:w="0" w:type="dxa"/>
              <w:bottom w:w="0" w:type="dxa"/>
            </w:tcMar>
            <w:vAlign w:val="center"/>
          </w:tcPr>
          <w:p w:rsidR="001937AE" w:rsidRDefault="007C57CE">
            <w:pPr>
              <w:keepNext/>
              <w:keepLines/>
              <w:spacing w:after="0" w:line="240" w:lineRule="auto"/>
              <w:jc w:val="right"/>
            </w:pPr>
            <w:r>
              <w:rPr>
                <w:sz w:val="18"/>
              </w:rPr>
              <w:t>35.817,50</w:t>
            </w:r>
          </w:p>
        </w:tc>
        <w:tc>
          <w:tcPr>
            <w:tcW w:w="1860" w:type="dxa"/>
            <w:tcMar>
              <w:top w:w="0" w:type="dxa"/>
              <w:bottom w:w="0" w:type="dxa"/>
            </w:tcMar>
            <w:vAlign w:val="center"/>
          </w:tcPr>
          <w:p w:rsidR="001937AE" w:rsidRDefault="007C57CE">
            <w:pPr>
              <w:keepNext/>
              <w:keepLines/>
              <w:spacing w:after="0" w:line="240" w:lineRule="auto"/>
              <w:jc w:val="right"/>
            </w:pPr>
            <w:r>
              <w:rPr>
                <w:sz w:val="18"/>
              </w:rPr>
              <w:t>65.432,07</w:t>
            </w:r>
          </w:p>
        </w:tc>
        <w:tc>
          <w:tcPr>
            <w:tcW w:w="700" w:type="dxa"/>
            <w:tcMar>
              <w:top w:w="0" w:type="dxa"/>
              <w:bottom w:w="0" w:type="dxa"/>
            </w:tcMar>
            <w:vAlign w:val="center"/>
          </w:tcPr>
          <w:p w:rsidR="001937AE" w:rsidRDefault="007C57CE">
            <w:pPr>
              <w:keepNext/>
              <w:keepLines/>
              <w:spacing w:after="0" w:line="240" w:lineRule="auto"/>
              <w:jc w:val="right"/>
            </w:pPr>
            <w:r>
              <w:rPr>
                <w:sz w:val="18"/>
              </w:rPr>
              <w:t>182,7</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b/>
                <w:sz w:val="18"/>
              </w:rPr>
              <w:t>MANJAK PRIHODA OD NEFINANCIJSKE IMOVINE (šifre 4-7)</w:t>
            </w:r>
          </w:p>
        </w:tc>
        <w:tc>
          <w:tcPr>
            <w:tcW w:w="700" w:type="dxa"/>
            <w:tcMar>
              <w:top w:w="0" w:type="dxa"/>
              <w:bottom w:w="0" w:type="dxa"/>
            </w:tcMar>
            <w:vAlign w:val="center"/>
          </w:tcPr>
          <w:p w:rsidR="001937AE" w:rsidRDefault="007C57CE">
            <w:pPr>
              <w:keepNext/>
              <w:keepLines/>
              <w:spacing w:after="0" w:line="240" w:lineRule="auto"/>
            </w:pPr>
            <w:r>
              <w:rPr>
                <w:b/>
                <w:sz w:val="18"/>
              </w:rPr>
              <w:t>Y002</w:t>
            </w:r>
          </w:p>
        </w:tc>
        <w:tc>
          <w:tcPr>
            <w:tcW w:w="1860" w:type="dxa"/>
            <w:tcMar>
              <w:top w:w="0" w:type="dxa"/>
              <w:bottom w:w="0" w:type="dxa"/>
            </w:tcMar>
            <w:vAlign w:val="center"/>
          </w:tcPr>
          <w:p w:rsidR="001937AE" w:rsidRDefault="007C57CE">
            <w:pPr>
              <w:keepNext/>
              <w:keepLines/>
              <w:spacing w:after="0" w:line="240" w:lineRule="auto"/>
              <w:jc w:val="right"/>
            </w:pPr>
            <w:r>
              <w:rPr>
                <w:b/>
                <w:sz w:val="18"/>
              </w:rPr>
              <w:t>35.817,50</w:t>
            </w:r>
          </w:p>
        </w:tc>
        <w:tc>
          <w:tcPr>
            <w:tcW w:w="1860" w:type="dxa"/>
            <w:tcMar>
              <w:top w:w="0" w:type="dxa"/>
              <w:bottom w:w="0" w:type="dxa"/>
            </w:tcMar>
            <w:vAlign w:val="center"/>
          </w:tcPr>
          <w:p w:rsidR="001937AE" w:rsidRDefault="007C57CE">
            <w:pPr>
              <w:keepNext/>
              <w:keepLines/>
              <w:spacing w:after="0" w:line="240" w:lineRule="auto"/>
              <w:jc w:val="right"/>
            </w:pPr>
            <w:r>
              <w:rPr>
                <w:b/>
                <w:sz w:val="18"/>
              </w:rPr>
              <w:t>65.432,07</w:t>
            </w:r>
          </w:p>
        </w:tc>
        <w:tc>
          <w:tcPr>
            <w:tcW w:w="700" w:type="dxa"/>
            <w:tcMar>
              <w:top w:w="0" w:type="dxa"/>
              <w:bottom w:w="0" w:type="dxa"/>
            </w:tcMar>
            <w:vAlign w:val="center"/>
          </w:tcPr>
          <w:p w:rsidR="001937AE" w:rsidRDefault="007C57CE">
            <w:pPr>
              <w:keepNext/>
              <w:keepLines/>
              <w:spacing w:after="0" w:line="240" w:lineRule="auto"/>
              <w:jc w:val="right"/>
            </w:pPr>
            <w:r>
              <w:rPr>
                <w:b/>
                <w:sz w:val="18"/>
              </w:rPr>
              <w:t>182,7</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8</w:t>
            </w:r>
          </w:p>
        </w:tc>
        <w:tc>
          <w:tcPr>
            <w:tcW w:w="3180" w:type="dxa"/>
            <w:tcMar>
              <w:top w:w="0" w:type="dxa"/>
              <w:bottom w:w="0" w:type="dxa"/>
            </w:tcMar>
            <w:vAlign w:val="center"/>
          </w:tcPr>
          <w:p w:rsidR="001937AE" w:rsidRDefault="007C57CE">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rsidR="001937AE" w:rsidRDefault="007C57CE">
            <w:pPr>
              <w:keepNext/>
              <w:keepLines/>
              <w:spacing w:after="0" w:line="240" w:lineRule="auto"/>
            </w:pPr>
            <w:r>
              <w:rPr>
                <w:sz w:val="18"/>
              </w:rPr>
              <w:t>8</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5</w:t>
            </w:r>
          </w:p>
        </w:tc>
        <w:tc>
          <w:tcPr>
            <w:tcW w:w="3180" w:type="dxa"/>
            <w:tcMar>
              <w:top w:w="0" w:type="dxa"/>
              <w:bottom w:w="0" w:type="dxa"/>
            </w:tcMar>
            <w:vAlign w:val="center"/>
          </w:tcPr>
          <w:p w:rsidR="001937AE" w:rsidRDefault="007C57CE">
            <w:pPr>
              <w:keepNext/>
              <w:keepLines/>
              <w:spacing w:after="0" w:line="240" w:lineRule="auto"/>
            </w:pPr>
            <w:r>
              <w:rPr>
                <w:sz w:val="18"/>
              </w:rPr>
              <w:t xml:space="preserve">Izdaci za financijsku imovinu i otplate zajmova (šifre </w:t>
            </w:r>
            <w:r>
              <w:rPr>
                <w:sz w:val="18"/>
              </w:rPr>
              <w:t>51+52+53+54+55)</w:t>
            </w:r>
          </w:p>
        </w:tc>
        <w:tc>
          <w:tcPr>
            <w:tcW w:w="700" w:type="dxa"/>
            <w:tcMar>
              <w:top w:w="0" w:type="dxa"/>
              <w:bottom w:w="0" w:type="dxa"/>
            </w:tcMar>
            <w:vAlign w:val="center"/>
          </w:tcPr>
          <w:p w:rsidR="001937AE" w:rsidRDefault="007C57CE">
            <w:pPr>
              <w:keepNext/>
              <w:keepLines/>
              <w:spacing w:after="0" w:line="240" w:lineRule="auto"/>
            </w:pPr>
            <w:r>
              <w:rPr>
                <w:sz w:val="18"/>
              </w:rPr>
              <w:t>5</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rsidR="001937AE" w:rsidRDefault="007C57CE">
            <w:pPr>
              <w:keepNext/>
              <w:keepLines/>
              <w:spacing w:after="0" w:line="240" w:lineRule="auto"/>
            </w:pPr>
            <w:r>
              <w:rPr>
                <w:b/>
                <w:sz w:val="18"/>
              </w:rPr>
              <w:t>X003, Y003</w:t>
            </w:r>
          </w:p>
        </w:tc>
        <w:tc>
          <w:tcPr>
            <w:tcW w:w="1860" w:type="dxa"/>
            <w:tcMar>
              <w:top w:w="0" w:type="dxa"/>
              <w:bottom w:w="0" w:type="dxa"/>
            </w:tcMar>
            <w:vAlign w:val="center"/>
          </w:tcPr>
          <w:p w:rsidR="001937AE" w:rsidRDefault="007C57CE">
            <w:pPr>
              <w:keepNext/>
              <w:keepLines/>
              <w:spacing w:after="0" w:line="240" w:lineRule="auto"/>
              <w:jc w:val="right"/>
            </w:pPr>
            <w:r>
              <w:rPr>
                <w:b/>
                <w:sz w:val="18"/>
              </w:rPr>
              <w:t>0,00</w:t>
            </w:r>
          </w:p>
        </w:tc>
        <w:tc>
          <w:tcPr>
            <w:tcW w:w="1860" w:type="dxa"/>
            <w:tcMar>
              <w:top w:w="0" w:type="dxa"/>
              <w:bottom w:w="0" w:type="dxa"/>
            </w:tcMar>
            <w:vAlign w:val="center"/>
          </w:tcPr>
          <w:p w:rsidR="001937AE" w:rsidRDefault="007C57CE">
            <w:pPr>
              <w:keepNext/>
              <w:keepLines/>
              <w:spacing w:after="0" w:line="240" w:lineRule="auto"/>
              <w:jc w:val="right"/>
            </w:pPr>
            <w:r>
              <w:rPr>
                <w:b/>
                <w:sz w:val="18"/>
              </w:rPr>
              <w:t>0,00</w:t>
            </w:r>
          </w:p>
        </w:tc>
        <w:tc>
          <w:tcPr>
            <w:tcW w:w="700" w:type="dxa"/>
            <w:tcMar>
              <w:top w:w="0" w:type="dxa"/>
              <w:bottom w:w="0" w:type="dxa"/>
            </w:tcMar>
            <w:vAlign w:val="center"/>
          </w:tcPr>
          <w:p w:rsidR="001937AE" w:rsidRDefault="007C57CE">
            <w:pPr>
              <w:keepNext/>
              <w:keepLines/>
              <w:spacing w:after="0" w:line="240" w:lineRule="auto"/>
              <w:jc w:val="right"/>
            </w:pPr>
            <w:r>
              <w:rPr>
                <w:b/>
                <w:sz w:val="18"/>
              </w:rPr>
              <w:t>-</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b/>
                <w:sz w:val="18"/>
              </w:rPr>
              <w:t>VIŠAK PRIHODA I PRIMITAKA (šifre X678-Y345)</w:t>
            </w:r>
          </w:p>
        </w:tc>
        <w:tc>
          <w:tcPr>
            <w:tcW w:w="700" w:type="dxa"/>
            <w:tcMar>
              <w:top w:w="0" w:type="dxa"/>
              <w:bottom w:w="0" w:type="dxa"/>
            </w:tcMar>
            <w:vAlign w:val="center"/>
          </w:tcPr>
          <w:p w:rsidR="001937AE" w:rsidRDefault="007C57CE">
            <w:pPr>
              <w:keepNext/>
              <w:keepLines/>
              <w:spacing w:after="0" w:line="240" w:lineRule="auto"/>
            </w:pPr>
            <w:r>
              <w:rPr>
                <w:b/>
                <w:sz w:val="18"/>
              </w:rPr>
              <w:t>X005</w:t>
            </w:r>
          </w:p>
        </w:tc>
        <w:tc>
          <w:tcPr>
            <w:tcW w:w="1860" w:type="dxa"/>
            <w:tcMar>
              <w:top w:w="0" w:type="dxa"/>
              <w:bottom w:w="0" w:type="dxa"/>
            </w:tcMar>
            <w:vAlign w:val="center"/>
          </w:tcPr>
          <w:p w:rsidR="001937AE" w:rsidRDefault="007C57CE">
            <w:pPr>
              <w:keepNext/>
              <w:keepLines/>
              <w:spacing w:after="0" w:line="240" w:lineRule="auto"/>
              <w:jc w:val="right"/>
            </w:pPr>
            <w:r>
              <w:rPr>
                <w:b/>
                <w:sz w:val="18"/>
              </w:rPr>
              <w:t>15.854,94</w:t>
            </w:r>
          </w:p>
        </w:tc>
        <w:tc>
          <w:tcPr>
            <w:tcW w:w="1860" w:type="dxa"/>
            <w:tcMar>
              <w:top w:w="0" w:type="dxa"/>
              <w:bottom w:w="0" w:type="dxa"/>
            </w:tcMar>
            <w:vAlign w:val="center"/>
          </w:tcPr>
          <w:p w:rsidR="001937AE" w:rsidRDefault="007C57CE">
            <w:pPr>
              <w:keepNext/>
              <w:keepLines/>
              <w:spacing w:after="0" w:line="240" w:lineRule="auto"/>
              <w:jc w:val="right"/>
            </w:pPr>
            <w:r>
              <w:rPr>
                <w:b/>
                <w:sz w:val="18"/>
              </w:rPr>
              <w:t>8.408,62</w:t>
            </w:r>
          </w:p>
        </w:tc>
        <w:tc>
          <w:tcPr>
            <w:tcW w:w="700" w:type="dxa"/>
            <w:tcMar>
              <w:top w:w="0" w:type="dxa"/>
              <w:bottom w:w="0" w:type="dxa"/>
            </w:tcMar>
            <w:vAlign w:val="center"/>
          </w:tcPr>
          <w:p w:rsidR="001937AE" w:rsidRDefault="007C57CE">
            <w:pPr>
              <w:keepNext/>
              <w:keepLines/>
              <w:spacing w:after="0" w:line="240" w:lineRule="auto"/>
              <w:jc w:val="right"/>
            </w:pPr>
            <w:r>
              <w:rPr>
                <w:b/>
                <w:sz w:val="18"/>
              </w:rPr>
              <w:t>53,0</w:t>
            </w:r>
          </w:p>
        </w:tc>
      </w:tr>
    </w:tbl>
    <w:p w:rsidR="001937AE" w:rsidRDefault="001937AE">
      <w:pPr>
        <w:spacing w:after="0"/>
      </w:pPr>
    </w:p>
    <w:p w:rsidR="001937AE" w:rsidRDefault="007C57CE">
      <w:r>
        <w:t>Prirodoslovni muzej u Rijeci utemeljen je 16. svibnja 1876. godine kada je dr. Josef Roman Lorenz izložio detaljno razrađen program razvoja regionalnog prirodoslovnog muzeja tadašnjem gradonačelniku Rijeke Giovanniju de Ciotti. Muzej je osnovan 1945. godin</w:t>
      </w:r>
      <w:r>
        <w:t>e, a otvoren za javnost 1. svibnja 1946. godine u obiteljskoj vili grofa Negronija iz 1925. godine., gdje se i danas nalazi. Prirodoslovni muzej Rijeka je najstarija muzejska ustanova u Primorsko-goranskoj županiji koja već 77 godina u kontinuitetu djeluje</w:t>
      </w:r>
      <w:r>
        <w:t xml:space="preserve"> pod nepromijenjenim imenom. Od osnutka do danas u Muzeju se radi na istraživanjima i popularizaciji prirodne </w:t>
      </w:r>
      <w:r>
        <w:lastRenderedPageBreak/>
        <w:t>baštine i prirodoslovlja. Muzej danas skrbi o 29 zbirki s približno 90.000 muzejskih predmeta. Muzej ima svojstvo pravne osobe i upisan je u sudsk</w:t>
      </w:r>
      <w:r>
        <w:t>i registar Trgovačkog suda u Rijeci, Matični broj subjekta 040091646, od 24. rujna 1997. godine. Prava i dužnosti osnivača Rješenjem Ministarstva kulture Republike Hrvatske, KLASA: 023-03/94-01-65, URBROJ: 532-03-3/1-94-01, od 22. veljače 1994. godine, pre</w:t>
      </w:r>
      <w:r>
        <w:t>nesena su na Primorsko-goransku županiju. Prirodoslovni muzej Rijeka danas je suvremeni regionalni prirodoslovni muzej, koji svojim osnovnim djelatnostima – prikupljanjem, stručnom i znanstvenom obradom, trajnim pohranjivanjem te prezentacijom i interpreta</w:t>
      </w:r>
      <w:r>
        <w:t>cijom muzejske građe i muzejskom edukacijom u najvećoj mjeri pokriva područje Primorsko-goranske županije i šire, Republike Hrvatske. Od 1. srpnja 2014. godine, Muzej svoju djelatnost obavlja i u Kaštelu Zrinskih u Brodu na Kupi.</w:t>
      </w:r>
    </w:p>
    <w:p w:rsidR="001937AE" w:rsidRDefault="007C57CE">
      <w:r>
        <w:br/>
      </w:r>
    </w:p>
    <w:p w:rsidR="001937AE" w:rsidRDefault="007C57CE">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w:t>
            </w:r>
            <w:r>
              <w:rPr>
                <w:b/>
                <w:sz w:val="18"/>
              </w:rPr>
              <w:t>.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w:t>
            </w:r>
          </w:p>
        </w:tc>
        <w:tc>
          <w:tcPr>
            <w:tcW w:w="3180" w:type="dxa"/>
            <w:tcMar>
              <w:top w:w="0" w:type="dxa"/>
              <w:bottom w:w="0" w:type="dxa"/>
            </w:tcMar>
            <w:vAlign w:val="center"/>
          </w:tcPr>
          <w:p w:rsidR="001937AE" w:rsidRDefault="007C57CE">
            <w:pPr>
              <w:keepNext/>
              <w:keepLines/>
              <w:spacing w:after="0" w:line="240" w:lineRule="auto"/>
            </w:pPr>
            <w:r>
              <w:rPr>
                <w:sz w:val="18"/>
              </w:rPr>
              <w:t>PRIHODI POSLOVANJA (šifre 61+62+63+64+65+66+67+68)</w:t>
            </w:r>
          </w:p>
        </w:tc>
        <w:tc>
          <w:tcPr>
            <w:tcW w:w="700" w:type="dxa"/>
            <w:tcMar>
              <w:top w:w="0" w:type="dxa"/>
              <w:bottom w:w="0" w:type="dxa"/>
            </w:tcMar>
            <w:vAlign w:val="center"/>
          </w:tcPr>
          <w:p w:rsidR="001937AE" w:rsidRDefault="007C57CE">
            <w:pPr>
              <w:keepNext/>
              <w:keepLines/>
              <w:spacing w:after="0" w:line="240" w:lineRule="auto"/>
            </w:pPr>
            <w:r>
              <w:rPr>
                <w:sz w:val="18"/>
              </w:rPr>
              <w:t>6</w:t>
            </w:r>
          </w:p>
        </w:tc>
        <w:tc>
          <w:tcPr>
            <w:tcW w:w="1860" w:type="dxa"/>
            <w:tcMar>
              <w:top w:w="0" w:type="dxa"/>
              <w:bottom w:w="0" w:type="dxa"/>
            </w:tcMar>
            <w:vAlign w:val="center"/>
          </w:tcPr>
          <w:p w:rsidR="001937AE" w:rsidRDefault="007C57CE">
            <w:pPr>
              <w:keepNext/>
              <w:keepLines/>
              <w:spacing w:after="0" w:line="240" w:lineRule="auto"/>
              <w:jc w:val="right"/>
            </w:pPr>
            <w:r>
              <w:rPr>
                <w:sz w:val="18"/>
              </w:rPr>
              <w:t>772.848,81</w:t>
            </w:r>
          </w:p>
        </w:tc>
        <w:tc>
          <w:tcPr>
            <w:tcW w:w="1860" w:type="dxa"/>
            <w:tcMar>
              <w:top w:w="0" w:type="dxa"/>
              <w:bottom w:w="0" w:type="dxa"/>
            </w:tcMar>
            <w:vAlign w:val="center"/>
          </w:tcPr>
          <w:p w:rsidR="001937AE" w:rsidRDefault="007C57CE">
            <w:pPr>
              <w:keepNext/>
              <w:keepLines/>
              <w:spacing w:after="0" w:line="240" w:lineRule="auto"/>
              <w:jc w:val="right"/>
            </w:pPr>
            <w:r>
              <w:rPr>
                <w:sz w:val="18"/>
              </w:rPr>
              <w:t>1.281.724,90</w:t>
            </w:r>
          </w:p>
        </w:tc>
        <w:tc>
          <w:tcPr>
            <w:tcW w:w="700" w:type="dxa"/>
            <w:tcMar>
              <w:top w:w="0" w:type="dxa"/>
              <w:bottom w:w="0" w:type="dxa"/>
            </w:tcMar>
            <w:vAlign w:val="center"/>
          </w:tcPr>
          <w:p w:rsidR="001937AE" w:rsidRDefault="007C57CE">
            <w:pPr>
              <w:keepNext/>
              <w:keepLines/>
              <w:spacing w:after="0" w:line="240" w:lineRule="auto"/>
              <w:jc w:val="right"/>
            </w:pPr>
            <w:r>
              <w:rPr>
                <w:sz w:val="18"/>
              </w:rPr>
              <w:t>165,8</w:t>
            </w:r>
          </w:p>
        </w:tc>
      </w:tr>
    </w:tbl>
    <w:p w:rsidR="001937AE" w:rsidRDefault="001937AE">
      <w:pPr>
        <w:spacing w:after="0"/>
      </w:pPr>
    </w:p>
    <w:p w:rsidR="001937AE" w:rsidRDefault="007C57CE">
      <w:r>
        <w:t>Ostvareni prihodi poslovanja su 1.281.724,90 eura a sastoje se od:</w:t>
      </w:r>
    </w:p>
    <w:p w:rsidR="001937AE" w:rsidRDefault="007C57CE">
      <w:r>
        <w:rPr>
          <w:b/>
        </w:rPr>
        <w:t>67</w:t>
      </w:r>
      <w:r>
        <w:t xml:space="preserve"> Prihodi iz nadležnog proračuna – PGŽ  840.425,59 eura</w:t>
      </w:r>
    </w:p>
    <w:p w:rsidR="001937AE" w:rsidRDefault="007C57CE">
      <w:r>
        <w:rPr>
          <w:b/>
        </w:rPr>
        <w:t xml:space="preserve">631 </w:t>
      </w:r>
      <w:r>
        <w:t>Pomoći od inozemnih vlada - 327.521,14 eura (EU projekt transPlant - 324.148,85; EU projekt FASIH - 3.372,29)</w:t>
      </w:r>
    </w:p>
    <w:p w:rsidR="001937AE" w:rsidRDefault="007C57CE">
      <w:r>
        <w:rPr>
          <w:b/>
        </w:rPr>
        <w:t xml:space="preserve">636 </w:t>
      </w:r>
      <w:r>
        <w:t>Pomoći proraču</w:t>
      </w:r>
      <w:r>
        <w:t>nskim korisnicima iz proračuna koji im nije nadležan - 28.102,00 (Ministarstvo kulture i medija za programe Muzeja - 17.370,00 eura, MRRFEU - 5.532,00; Grad Rijeka - 3.200,00 i Grad Delnice - 2.000,00)</w:t>
      </w:r>
    </w:p>
    <w:p w:rsidR="001937AE" w:rsidRDefault="007C57CE">
      <w:r>
        <w:rPr>
          <w:b/>
        </w:rPr>
        <w:t xml:space="preserve">639  </w:t>
      </w:r>
      <w:r>
        <w:t>Prijenosi između proračunskih korisnika istog pro</w:t>
      </w:r>
      <w:r>
        <w:t>računa PGŽ za EU projekt KTR Putovima Frankopana) - 13.595,02 eura</w:t>
      </w:r>
    </w:p>
    <w:p w:rsidR="001937AE" w:rsidRDefault="007C57CE">
      <w:r>
        <w:rPr>
          <w:b/>
        </w:rPr>
        <w:t xml:space="preserve">6526 </w:t>
      </w:r>
      <w:r>
        <w:t>Sufinanciranje cijene usluge, participacije i slično (prihodi od ulaznica, edukativnih programa, stručnih usluga, refundacija i sl.) - 68.766,32 eura</w:t>
      </w:r>
    </w:p>
    <w:p w:rsidR="001937AE" w:rsidRDefault="007C57CE">
      <w:r>
        <w:rPr>
          <w:b/>
        </w:rPr>
        <w:t xml:space="preserve">6614 </w:t>
      </w:r>
      <w:r>
        <w:t>Prihodi od prodaje proizvoda i robe (suvenira) - 1.706,92 eura</w:t>
      </w:r>
    </w:p>
    <w:p w:rsidR="001937AE" w:rsidRDefault="007C57CE">
      <w:r>
        <w:rPr>
          <w:b/>
        </w:rPr>
        <w:t xml:space="preserve">6615 </w:t>
      </w:r>
      <w:r>
        <w:t>Prihodi od pruženih usluga - 1.376,36 eura</w:t>
      </w:r>
    </w:p>
    <w:p w:rsidR="001937AE" w:rsidRDefault="007C57CE">
      <w:r>
        <w:rPr>
          <w:b/>
        </w:rPr>
        <w:t xml:space="preserve">64 </w:t>
      </w:r>
      <w:r>
        <w:t>Prihodi od financijske imovine (kamate) - 25,32 erua</w:t>
      </w:r>
    </w:p>
    <w:p w:rsidR="001937AE" w:rsidRDefault="007C57CE">
      <w:r>
        <w:rPr>
          <w:b/>
        </w:rPr>
        <w:t xml:space="preserve">683 </w:t>
      </w:r>
      <w:r>
        <w:t>Ostali prihodi - 206.,23</w:t>
      </w:r>
    </w:p>
    <w:p w:rsidR="001937AE" w:rsidRDefault="007C57CE">
      <w:r>
        <w:t>Ostvareni prihodi su veći u odnosu na prethodno razdoblje (1</w:t>
      </w:r>
      <w:r>
        <w:t>65,8) poglavito zahvaljujući provedbi aktivnosti u sklopu EU projekta transPlant, financiranog iz INTERREG programa Slovenija-Hrvatska</w:t>
      </w:r>
    </w:p>
    <w:p w:rsidR="001937AE" w:rsidRDefault="001937AE"/>
    <w:p w:rsidR="001937AE" w:rsidRDefault="007C57CE">
      <w:pPr>
        <w:keepNext/>
        <w:spacing w:line="240" w:lineRule="auto"/>
        <w:jc w:val="center"/>
      </w:pPr>
      <w:r>
        <w:rPr>
          <w:sz w:val="28"/>
        </w:rPr>
        <w:lastRenderedPageBreak/>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w:t>
            </w:r>
            <w:r>
              <w:rPr>
                <w:b/>
                <w:sz w:val="18"/>
              </w:rPr>
              <w:t>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63</w:t>
            </w:r>
          </w:p>
        </w:tc>
        <w:tc>
          <w:tcPr>
            <w:tcW w:w="3180" w:type="dxa"/>
            <w:tcMar>
              <w:top w:w="0" w:type="dxa"/>
              <w:bottom w:w="0" w:type="dxa"/>
            </w:tcMar>
            <w:vAlign w:val="center"/>
          </w:tcPr>
          <w:p w:rsidR="001937AE" w:rsidRDefault="007C57CE">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rsidR="001937AE" w:rsidRDefault="007C57CE">
            <w:pPr>
              <w:keepNext/>
              <w:keepLines/>
              <w:spacing w:after="0" w:line="240" w:lineRule="auto"/>
            </w:pPr>
            <w:r>
              <w:rPr>
                <w:sz w:val="18"/>
              </w:rPr>
              <w:t>63</w:t>
            </w:r>
          </w:p>
        </w:tc>
        <w:tc>
          <w:tcPr>
            <w:tcW w:w="1860" w:type="dxa"/>
            <w:tcMar>
              <w:top w:w="0" w:type="dxa"/>
              <w:bottom w:w="0" w:type="dxa"/>
            </w:tcMar>
            <w:vAlign w:val="center"/>
          </w:tcPr>
          <w:p w:rsidR="001937AE" w:rsidRDefault="007C57CE">
            <w:pPr>
              <w:keepNext/>
              <w:keepLines/>
              <w:spacing w:after="0" w:line="240" w:lineRule="auto"/>
              <w:jc w:val="right"/>
            </w:pPr>
            <w:r>
              <w:rPr>
                <w:sz w:val="18"/>
              </w:rPr>
              <w:t>27.178,56</w:t>
            </w:r>
          </w:p>
        </w:tc>
        <w:tc>
          <w:tcPr>
            <w:tcW w:w="1860" w:type="dxa"/>
            <w:tcMar>
              <w:top w:w="0" w:type="dxa"/>
              <w:bottom w:w="0" w:type="dxa"/>
            </w:tcMar>
            <w:vAlign w:val="center"/>
          </w:tcPr>
          <w:p w:rsidR="001937AE" w:rsidRDefault="007C57CE">
            <w:pPr>
              <w:keepNext/>
              <w:keepLines/>
              <w:spacing w:after="0" w:line="240" w:lineRule="auto"/>
              <w:jc w:val="right"/>
            </w:pPr>
            <w:r>
              <w:rPr>
                <w:sz w:val="18"/>
              </w:rPr>
              <w:t>369.218,16</w:t>
            </w:r>
          </w:p>
        </w:tc>
        <w:tc>
          <w:tcPr>
            <w:tcW w:w="700" w:type="dxa"/>
            <w:tcMar>
              <w:top w:w="0" w:type="dxa"/>
              <w:bottom w:w="0" w:type="dxa"/>
            </w:tcMar>
            <w:vAlign w:val="center"/>
          </w:tcPr>
          <w:p w:rsidR="001937AE" w:rsidRDefault="007C57CE">
            <w:pPr>
              <w:keepNext/>
              <w:keepLines/>
              <w:spacing w:after="0" w:line="240" w:lineRule="auto"/>
              <w:jc w:val="right"/>
            </w:pPr>
            <w:r>
              <w:rPr>
                <w:sz w:val="18"/>
              </w:rPr>
              <w:t>1358,5</w:t>
            </w:r>
          </w:p>
        </w:tc>
      </w:tr>
    </w:tbl>
    <w:p w:rsidR="001937AE" w:rsidRDefault="001937AE">
      <w:pPr>
        <w:spacing w:after="0"/>
      </w:pPr>
    </w:p>
    <w:p w:rsidR="001937AE" w:rsidRDefault="007C57CE">
      <w:r>
        <w:t>Najveći indeks rasta bilježi se kod pomoći iz inozemstva i od subjekata unutar općeg proračuna (šifra 63 – 1.358,5) ) koja su Muzeju, kao vodećem partneru EU projekta transPlant, financiranog iz INTERREG programa Slovenija-Hrvatska, doznačena temeljem odob</w:t>
      </w:r>
      <w:r>
        <w:t xml:space="preserve">renih projektnih izvještaja. Glavnina iznosa namijenjena je prijenosu EU refundacije partnerima na Projektu, dok se ostatak koji se odnosi na rashode nastale provođenjem projektnih aktivnosti  u 2024. i koji su predfinancirani od strane Primorsko-goranske </w:t>
      </w:r>
      <w:r>
        <w:t>županije, pokrio u 2025. godini utvrđeni manjak na rezultatu  na izvoru pomoći za provođenje EU projekata</w:t>
      </w:r>
    </w:p>
    <w:p w:rsidR="001937AE" w:rsidRDefault="001937AE"/>
    <w:p w:rsidR="001937AE" w:rsidRDefault="007C57CE">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w:t>
            </w:r>
            <w:r>
              <w:rPr>
                <w:b/>
                <w:sz w:val="18"/>
              </w:rPr>
              <w:t>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631</w:t>
            </w:r>
          </w:p>
        </w:tc>
        <w:tc>
          <w:tcPr>
            <w:tcW w:w="3180" w:type="dxa"/>
            <w:tcMar>
              <w:top w:w="0" w:type="dxa"/>
              <w:bottom w:w="0" w:type="dxa"/>
            </w:tcMar>
            <w:vAlign w:val="center"/>
          </w:tcPr>
          <w:p w:rsidR="001937AE" w:rsidRDefault="007C57CE">
            <w:pPr>
              <w:keepNext/>
              <w:keepLines/>
              <w:spacing w:after="0" w:line="240" w:lineRule="auto"/>
            </w:pPr>
            <w:r>
              <w:rPr>
                <w:sz w:val="18"/>
              </w:rPr>
              <w:t>Pomoći od inozemnih vlada (šifre 6311+6312)</w:t>
            </w:r>
          </w:p>
        </w:tc>
        <w:tc>
          <w:tcPr>
            <w:tcW w:w="700" w:type="dxa"/>
            <w:tcMar>
              <w:top w:w="0" w:type="dxa"/>
              <w:bottom w:w="0" w:type="dxa"/>
            </w:tcMar>
            <w:vAlign w:val="center"/>
          </w:tcPr>
          <w:p w:rsidR="001937AE" w:rsidRDefault="007C57CE">
            <w:pPr>
              <w:keepNext/>
              <w:keepLines/>
              <w:spacing w:after="0" w:line="240" w:lineRule="auto"/>
            </w:pPr>
            <w:r>
              <w:rPr>
                <w:sz w:val="18"/>
              </w:rPr>
              <w:t>631</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327.521,14</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Šifra 631 Pomoći od inozemnih vlada - nema podatka za izravnu usporedbu u izvještajnom razdoblju prethodne godine zbog evidentiranja tog prihoda u 2024. godini na podskupini 632 (Pomoći od međunarodnih organizacija te insitucija i tijela EU). Usporedba izn</w:t>
      </w:r>
      <w:r>
        <w:t>osa istovrsnih priljeva ukazuje na znatno povećanje u ovom obračunskom razdoblju. Osim gore navedene EU doznake u sklopu EU projekta transPlant, evidentirano je i priznavanje prihoda za pokrivanje rashoda nastalih u sklopu EU projekta FASIH - Future Arts a</w:t>
      </w:r>
      <w:r>
        <w:t>nd Science Industrial Heritage, a koji je bio prvobitno obuhvaćen prenesenim viškom iz 2024. godine</w:t>
      </w:r>
    </w:p>
    <w:p w:rsidR="001937AE" w:rsidRDefault="001937AE"/>
    <w:p w:rsidR="001937AE" w:rsidRDefault="007C57CE">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636</w:t>
            </w:r>
          </w:p>
        </w:tc>
        <w:tc>
          <w:tcPr>
            <w:tcW w:w="3180" w:type="dxa"/>
            <w:tcMar>
              <w:top w:w="0" w:type="dxa"/>
              <w:bottom w:w="0" w:type="dxa"/>
            </w:tcMar>
            <w:vAlign w:val="center"/>
          </w:tcPr>
          <w:p w:rsidR="001937AE" w:rsidRDefault="007C57CE">
            <w:pPr>
              <w:keepNext/>
              <w:keepLines/>
              <w:spacing w:after="0" w:line="240" w:lineRule="auto"/>
            </w:pPr>
            <w:r>
              <w:rPr>
                <w:sz w:val="18"/>
              </w:rPr>
              <w:t>Pomoći proračunskim korisnicima iz proračuna koji im nije nadležan (šifre 6361+6362)</w:t>
            </w:r>
          </w:p>
        </w:tc>
        <w:tc>
          <w:tcPr>
            <w:tcW w:w="700" w:type="dxa"/>
            <w:tcMar>
              <w:top w:w="0" w:type="dxa"/>
              <w:bottom w:w="0" w:type="dxa"/>
            </w:tcMar>
            <w:vAlign w:val="center"/>
          </w:tcPr>
          <w:p w:rsidR="001937AE" w:rsidRDefault="007C57CE">
            <w:pPr>
              <w:keepNext/>
              <w:keepLines/>
              <w:spacing w:after="0" w:line="240" w:lineRule="auto"/>
            </w:pPr>
            <w:r>
              <w:rPr>
                <w:sz w:val="18"/>
              </w:rPr>
              <w:t>636</w:t>
            </w:r>
          </w:p>
        </w:tc>
        <w:tc>
          <w:tcPr>
            <w:tcW w:w="1860" w:type="dxa"/>
            <w:tcMar>
              <w:top w:w="0" w:type="dxa"/>
              <w:bottom w:w="0" w:type="dxa"/>
            </w:tcMar>
            <w:vAlign w:val="center"/>
          </w:tcPr>
          <w:p w:rsidR="001937AE" w:rsidRDefault="007C57CE">
            <w:pPr>
              <w:keepNext/>
              <w:keepLines/>
              <w:spacing w:after="0" w:line="240" w:lineRule="auto"/>
              <w:jc w:val="right"/>
            </w:pPr>
            <w:r>
              <w:rPr>
                <w:sz w:val="18"/>
              </w:rPr>
              <w:t>16.200,00</w:t>
            </w:r>
          </w:p>
        </w:tc>
        <w:tc>
          <w:tcPr>
            <w:tcW w:w="1860" w:type="dxa"/>
            <w:tcMar>
              <w:top w:w="0" w:type="dxa"/>
              <w:bottom w:w="0" w:type="dxa"/>
            </w:tcMar>
            <w:vAlign w:val="center"/>
          </w:tcPr>
          <w:p w:rsidR="001937AE" w:rsidRDefault="007C57CE">
            <w:pPr>
              <w:keepNext/>
              <w:keepLines/>
              <w:spacing w:after="0" w:line="240" w:lineRule="auto"/>
              <w:jc w:val="right"/>
            </w:pPr>
            <w:r>
              <w:rPr>
                <w:sz w:val="18"/>
              </w:rPr>
              <w:t>28.102,00</w:t>
            </w:r>
          </w:p>
        </w:tc>
        <w:tc>
          <w:tcPr>
            <w:tcW w:w="700" w:type="dxa"/>
            <w:tcMar>
              <w:top w:w="0" w:type="dxa"/>
              <w:bottom w:w="0" w:type="dxa"/>
            </w:tcMar>
            <w:vAlign w:val="center"/>
          </w:tcPr>
          <w:p w:rsidR="001937AE" w:rsidRDefault="007C57CE">
            <w:pPr>
              <w:keepNext/>
              <w:keepLines/>
              <w:spacing w:after="0" w:line="240" w:lineRule="auto"/>
              <w:jc w:val="right"/>
            </w:pPr>
            <w:r>
              <w:rPr>
                <w:sz w:val="18"/>
              </w:rPr>
              <w:t>173,5</w:t>
            </w:r>
          </w:p>
        </w:tc>
      </w:tr>
    </w:tbl>
    <w:p w:rsidR="001937AE" w:rsidRDefault="001937AE">
      <w:pPr>
        <w:spacing w:after="0"/>
      </w:pPr>
    </w:p>
    <w:p w:rsidR="001937AE" w:rsidRDefault="007C57CE">
      <w:r>
        <w:t xml:space="preserve">636 - Pomoći iz proračuna koji im nije nadležan  - porast indeksa  (173,5) proizlazi iz isplate prvog dijela ukupno odobrenih bespovratnih sredstava temeljem Ugovora o sufinanciranju provedbe EU projekta transPlant za Muzej kao vodećeg partnera i partnera </w:t>
      </w:r>
      <w:r>
        <w:t>na Projektu.</w:t>
      </w:r>
    </w:p>
    <w:p w:rsidR="001937AE" w:rsidRDefault="001937AE"/>
    <w:p w:rsidR="001937AE" w:rsidRDefault="007C57CE">
      <w:pPr>
        <w:keepNext/>
        <w:spacing w:line="240" w:lineRule="auto"/>
        <w:jc w:val="center"/>
      </w:pPr>
      <w:r>
        <w:rPr>
          <w:sz w:val="28"/>
        </w:rPr>
        <w:lastRenderedPageBreak/>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639</w:t>
            </w:r>
          </w:p>
        </w:tc>
        <w:tc>
          <w:tcPr>
            <w:tcW w:w="3180" w:type="dxa"/>
            <w:tcMar>
              <w:top w:w="0" w:type="dxa"/>
              <w:bottom w:w="0" w:type="dxa"/>
            </w:tcMar>
            <w:vAlign w:val="center"/>
          </w:tcPr>
          <w:p w:rsidR="001937AE" w:rsidRDefault="007C57CE">
            <w:pPr>
              <w:keepNext/>
              <w:keepLines/>
              <w:spacing w:after="0" w:line="240" w:lineRule="auto"/>
            </w:pPr>
            <w:r>
              <w:rPr>
                <w:sz w:val="18"/>
              </w:rPr>
              <w:t xml:space="preserve">Prijenosi između proračunskih korisnika istog proračuna (šifre 6391 do </w:t>
            </w:r>
            <w:r>
              <w:rPr>
                <w:sz w:val="18"/>
              </w:rPr>
              <w:t>6394)</w:t>
            </w:r>
          </w:p>
        </w:tc>
        <w:tc>
          <w:tcPr>
            <w:tcW w:w="700" w:type="dxa"/>
            <w:tcMar>
              <w:top w:w="0" w:type="dxa"/>
              <w:bottom w:w="0" w:type="dxa"/>
            </w:tcMar>
            <w:vAlign w:val="center"/>
          </w:tcPr>
          <w:p w:rsidR="001937AE" w:rsidRDefault="007C57CE">
            <w:pPr>
              <w:keepNext/>
              <w:keepLines/>
              <w:spacing w:after="0" w:line="240" w:lineRule="auto"/>
            </w:pPr>
            <w:r>
              <w:rPr>
                <w:sz w:val="18"/>
              </w:rPr>
              <w:t>639</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13.595,02</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639 - Prijenosi između proračunskih korisnika istog proračuna – nema podatka za usporedbu u izvještajnom razdoblju prethodne godine, a radi se o prijenosu 2. dijela  sredstava iz Fonda za sufinanciranje provedbe EU projekata na regionalnoj i lokalnoj razin</w:t>
      </w:r>
      <w:r>
        <w:t>i, za projekt Kulturno-turistička ruta Putovima Frankopana od strane Primorsko goranske županije.</w:t>
      </w:r>
    </w:p>
    <w:p w:rsidR="001937AE" w:rsidRDefault="001937AE"/>
    <w:p w:rsidR="001937AE" w:rsidRDefault="007C57CE">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w:t>
            </w:r>
            <w:r>
              <w:rPr>
                <w:b/>
                <w:sz w:val="18"/>
              </w:rPr>
              <w:t xml:space="preserve">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67</w:t>
            </w:r>
          </w:p>
        </w:tc>
        <w:tc>
          <w:tcPr>
            <w:tcW w:w="3180" w:type="dxa"/>
            <w:tcMar>
              <w:top w:w="0" w:type="dxa"/>
              <w:bottom w:w="0" w:type="dxa"/>
            </w:tcMar>
            <w:vAlign w:val="center"/>
          </w:tcPr>
          <w:p w:rsidR="001937AE" w:rsidRDefault="007C57CE">
            <w:pPr>
              <w:keepNext/>
              <w:keepLines/>
              <w:spacing w:after="0" w:line="240" w:lineRule="auto"/>
            </w:pPr>
            <w:r>
              <w:rPr>
                <w:sz w:val="18"/>
              </w:rPr>
              <w:t>Prihodi iz nadležnog proračuna i od HZZO-a na temelju ugovornih obveza (šifre 671+673)</w:t>
            </w:r>
          </w:p>
        </w:tc>
        <w:tc>
          <w:tcPr>
            <w:tcW w:w="700" w:type="dxa"/>
            <w:tcMar>
              <w:top w:w="0" w:type="dxa"/>
              <w:bottom w:w="0" w:type="dxa"/>
            </w:tcMar>
            <w:vAlign w:val="center"/>
          </w:tcPr>
          <w:p w:rsidR="001937AE" w:rsidRDefault="007C57CE">
            <w:pPr>
              <w:keepNext/>
              <w:keepLines/>
              <w:spacing w:after="0" w:line="240" w:lineRule="auto"/>
            </w:pPr>
            <w:r>
              <w:rPr>
                <w:sz w:val="18"/>
              </w:rPr>
              <w:t>67</w:t>
            </w:r>
          </w:p>
        </w:tc>
        <w:tc>
          <w:tcPr>
            <w:tcW w:w="1860" w:type="dxa"/>
            <w:tcMar>
              <w:top w:w="0" w:type="dxa"/>
              <w:bottom w:w="0" w:type="dxa"/>
            </w:tcMar>
            <w:vAlign w:val="center"/>
          </w:tcPr>
          <w:p w:rsidR="001937AE" w:rsidRDefault="007C57CE">
            <w:pPr>
              <w:keepNext/>
              <w:keepLines/>
              <w:spacing w:after="0" w:line="240" w:lineRule="auto"/>
              <w:jc w:val="right"/>
            </w:pPr>
            <w:r>
              <w:rPr>
                <w:sz w:val="18"/>
              </w:rPr>
              <w:t>685.424,88</w:t>
            </w:r>
          </w:p>
        </w:tc>
        <w:tc>
          <w:tcPr>
            <w:tcW w:w="1860" w:type="dxa"/>
            <w:tcMar>
              <w:top w:w="0" w:type="dxa"/>
              <w:bottom w:w="0" w:type="dxa"/>
            </w:tcMar>
            <w:vAlign w:val="center"/>
          </w:tcPr>
          <w:p w:rsidR="001937AE" w:rsidRDefault="007C57CE">
            <w:pPr>
              <w:keepNext/>
              <w:keepLines/>
              <w:spacing w:after="0" w:line="240" w:lineRule="auto"/>
              <w:jc w:val="right"/>
            </w:pPr>
            <w:r>
              <w:rPr>
                <w:sz w:val="18"/>
              </w:rPr>
              <w:t>840.425,59</w:t>
            </w:r>
          </w:p>
        </w:tc>
        <w:tc>
          <w:tcPr>
            <w:tcW w:w="700" w:type="dxa"/>
            <w:tcMar>
              <w:top w:w="0" w:type="dxa"/>
              <w:bottom w:w="0" w:type="dxa"/>
            </w:tcMar>
            <w:vAlign w:val="center"/>
          </w:tcPr>
          <w:p w:rsidR="001937AE" w:rsidRDefault="007C57CE">
            <w:pPr>
              <w:keepNext/>
              <w:keepLines/>
              <w:spacing w:after="0" w:line="240" w:lineRule="auto"/>
              <w:jc w:val="right"/>
            </w:pPr>
            <w:r>
              <w:rPr>
                <w:sz w:val="18"/>
              </w:rPr>
              <w:t>122,6</w:t>
            </w:r>
          </w:p>
        </w:tc>
      </w:tr>
    </w:tbl>
    <w:p w:rsidR="001937AE" w:rsidRDefault="001937AE">
      <w:pPr>
        <w:spacing w:after="0"/>
      </w:pPr>
    </w:p>
    <w:p w:rsidR="001937AE" w:rsidRDefault="007C57CE">
      <w:r>
        <w:t>Bilježi se rast indeksa prihoda iz nadležnog proračuna (šifra 67 – 122,6) koji prati rast rashoda poslovanja administracije i upravljanja, kao i zbog predfinanciranja aktivnosti u sklopu EU projekta transPlant.</w:t>
      </w:r>
    </w:p>
    <w:p w:rsidR="001937AE" w:rsidRDefault="001937AE"/>
    <w:p w:rsidR="001937AE" w:rsidRDefault="007C57CE">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6712</w:t>
            </w:r>
          </w:p>
        </w:tc>
        <w:tc>
          <w:tcPr>
            <w:tcW w:w="3180" w:type="dxa"/>
            <w:tcMar>
              <w:top w:w="0" w:type="dxa"/>
              <w:bottom w:w="0" w:type="dxa"/>
            </w:tcMar>
            <w:vAlign w:val="center"/>
          </w:tcPr>
          <w:p w:rsidR="001937AE" w:rsidRDefault="007C57CE">
            <w:pPr>
              <w:keepNext/>
              <w:keepLines/>
              <w:spacing w:after="0" w:line="240" w:lineRule="auto"/>
            </w:pPr>
            <w:r>
              <w:rPr>
                <w:sz w:val="18"/>
              </w:rPr>
              <w:t>Prihodi iz nadležnog proračuna za financiranje rashoda za nabavu nefinancijske imovine</w:t>
            </w:r>
          </w:p>
        </w:tc>
        <w:tc>
          <w:tcPr>
            <w:tcW w:w="700" w:type="dxa"/>
            <w:tcMar>
              <w:top w:w="0" w:type="dxa"/>
              <w:bottom w:w="0" w:type="dxa"/>
            </w:tcMar>
            <w:vAlign w:val="center"/>
          </w:tcPr>
          <w:p w:rsidR="001937AE" w:rsidRDefault="007C57CE">
            <w:pPr>
              <w:keepNext/>
              <w:keepLines/>
              <w:spacing w:after="0" w:line="240" w:lineRule="auto"/>
            </w:pPr>
            <w:r>
              <w:rPr>
                <w:sz w:val="18"/>
              </w:rPr>
              <w:t>6712</w:t>
            </w:r>
          </w:p>
        </w:tc>
        <w:tc>
          <w:tcPr>
            <w:tcW w:w="1860" w:type="dxa"/>
            <w:tcMar>
              <w:top w:w="0" w:type="dxa"/>
              <w:bottom w:w="0" w:type="dxa"/>
            </w:tcMar>
            <w:vAlign w:val="center"/>
          </w:tcPr>
          <w:p w:rsidR="001937AE" w:rsidRDefault="007C57CE">
            <w:pPr>
              <w:keepNext/>
              <w:keepLines/>
              <w:spacing w:after="0" w:line="240" w:lineRule="auto"/>
              <w:jc w:val="right"/>
            </w:pPr>
            <w:r>
              <w:rPr>
                <w:sz w:val="18"/>
              </w:rPr>
              <w:t>29.939,21</w:t>
            </w:r>
          </w:p>
        </w:tc>
        <w:tc>
          <w:tcPr>
            <w:tcW w:w="1860" w:type="dxa"/>
            <w:tcMar>
              <w:top w:w="0" w:type="dxa"/>
              <w:bottom w:w="0" w:type="dxa"/>
            </w:tcMar>
            <w:vAlign w:val="center"/>
          </w:tcPr>
          <w:p w:rsidR="001937AE" w:rsidRDefault="007C57CE">
            <w:pPr>
              <w:keepNext/>
              <w:keepLines/>
              <w:spacing w:after="0" w:line="240" w:lineRule="auto"/>
              <w:jc w:val="right"/>
            </w:pPr>
            <w:r>
              <w:rPr>
                <w:sz w:val="18"/>
              </w:rPr>
              <w:t>36.064,06</w:t>
            </w:r>
          </w:p>
        </w:tc>
        <w:tc>
          <w:tcPr>
            <w:tcW w:w="700" w:type="dxa"/>
            <w:tcMar>
              <w:top w:w="0" w:type="dxa"/>
              <w:bottom w:w="0" w:type="dxa"/>
            </w:tcMar>
            <w:vAlign w:val="center"/>
          </w:tcPr>
          <w:p w:rsidR="001937AE" w:rsidRDefault="007C57CE">
            <w:pPr>
              <w:keepNext/>
              <w:keepLines/>
              <w:spacing w:after="0" w:line="240" w:lineRule="auto"/>
              <w:jc w:val="right"/>
            </w:pPr>
            <w:r>
              <w:rPr>
                <w:sz w:val="18"/>
              </w:rPr>
              <w:t>120,5</w:t>
            </w:r>
          </w:p>
        </w:tc>
      </w:tr>
    </w:tbl>
    <w:p w:rsidR="001937AE" w:rsidRDefault="001937AE">
      <w:pPr>
        <w:spacing w:after="0"/>
      </w:pPr>
    </w:p>
    <w:p w:rsidR="001937AE" w:rsidRDefault="007C57CE">
      <w:r>
        <w:t>Povećanje indeksa na prihodima iz nadležnog proračuna za financiranje rashoda za nabavu nefinancijske imovine (šifra 6712 – 120,5) nastalo je zahvaljujući nabavi akvarija temeljem ugovora iz 2024. godine koji je u potpunosti realiziran u ovom obračunskom r</w:t>
      </w:r>
      <w:r>
        <w:t>azdoblju prenesenim proračunskim sredstvima iz prethodne godine.</w:t>
      </w:r>
    </w:p>
    <w:p w:rsidR="001937AE" w:rsidRDefault="001937AE"/>
    <w:p w:rsidR="001937AE" w:rsidRDefault="007C57CE">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683</w:t>
            </w:r>
          </w:p>
        </w:tc>
        <w:tc>
          <w:tcPr>
            <w:tcW w:w="3180" w:type="dxa"/>
            <w:tcMar>
              <w:top w:w="0" w:type="dxa"/>
              <w:bottom w:w="0" w:type="dxa"/>
            </w:tcMar>
            <w:vAlign w:val="center"/>
          </w:tcPr>
          <w:p w:rsidR="001937AE" w:rsidRDefault="007C57CE">
            <w:pPr>
              <w:keepNext/>
              <w:keepLines/>
              <w:spacing w:after="0" w:line="240" w:lineRule="auto"/>
            </w:pPr>
            <w:r>
              <w:rPr>
                <w:sz w:val="18"/>
              </w:rPr>
              <w:t>Ostali prihodi</w:t>
            </w:r>
          </w:p>
        </w:tc>
        <w:tc>
          <w:tcPr>
            <w:tcW w:w="700" w:type="dxa"/>
            <w:tcMar>
              <w:top w:w="0" w:type="dxa"/>
              <w:bottom w:w="0" w:type="dxa"/>
            </w:tcMar>
            <w:vAlign w:val="center"/>
          </w:tcPr>
          <w:p w:rsidR="001937AE" w:rsidRDefault="007C57CE">
            <w:pPr>
              <w:keepNext/>
              <w:keepLines/>
              <w:spacing w:after="0" w:line="240" w:lineRule="auto"/>
            </w:pPr>
            <w:r>
              <w:rPr>
                <w:sz w:val="18"/>
              </w:rPr>
              <w:t>683</w:t>
            </w:r>
          </w:p>
        </w:tc>
        <w:tc>
          <w:tcPr>
            <w:tcW w:w="1860" w:type="dxa"/>
            <w:tcMar>
              <w:top w:w="0" w:type="dxa"/>
              <w:bottom w:w="0" w:type="dxa"/>
            </w:tcMar>
            <w:vAlign w:val="center"/>
          </w:tcPr>
          <w:p w:rsidR="001937AE" w:rsidRDefault="007C57CE">
            <w:pPr>
              <w:keepNext/>
              <w:keepLines/>
              <w:spacing w:after="0" w:line="240" w:lineRule="auto"/>
              <w:jc w:val="right"/>
            </w:pPr>
            <w:r>
              <w:rPr>
                <w:sz w:val="18"/>
              </w:rPr>
              <w:t>145,20</w:t>
            </w:r>
          </w:p>
        </w:tc>
        <w:tc>
          <w:tcPr>
            <w:tcW w:w="1860" w:type="dxa"/>
            <w:tcMar>
              <w:top w:w="0" w:type="dxa"/>
              <w:bottom w:w="0" w:type="dxa"/>
            </w:tcMar>
            <w:vAlign w:val="center"/>
          </w:tcPr>
          <w:p w:rsidR="001937AE" w:rsidRDefault="007C57CE">
            <w:pPr>
              <w:keepNext/>
              <w:keepLines/>
              <w:spacing w:after="0" w:line="240" w:lineRule="auto"/>
              <w:jc w:val="right"/>
            </w:pPr>
            <w:r>
              <w:rPr>
                <w:sz w:val="18"/>
              </w:rPr>
              <w:t>206,23</w:t>
            </w:r>
          </w:p>
        </w:tc>
        <w:tc>
          <w:tcPr>
            <w:tcW w:w="700" w:type="dxa"/>
            <w:tcMar>
              <w:top w:w="0" w:type="dxa"/>
              <w:bottom w:w="0" w:type="dxa"/>
            </w:tcMar>
            <w:vAlign w:val="center"/>
          </w:tcPr>
          <w:p w:rsidR="001937AE" w:rsidRDefault="007C57CE">
            <w:pPr>
              <w:keepNext/>
              <w:keepLines/>
              <w:spacing w:after="0" w:line="240" w:lineRule="auto"/>
              <w:jc w:val="right"/>
            </w:pPr>
            <w:r>
              <w:rPr>
                <w:sz w:val="18"/>
              </w:rPr>
              <w:t>142,0</w:t>
            </w:r>
          </w:p>
        </w:tc>
      </w:tr>
    </w:tbl>
    <w:p w:rsidR="001937AE" w:rsidRDefault="001937AE">
      <w:pPr>
        <w:spacing w:after="0"/>
      </w:pPr>
    </w:p>
    <w:p w:rsidR="001937AE" w:rsidRDefault="007C57CE">
      <w:r>
        <w:t>683 – Ostali prihodi – radi se o evidentiranju  odobrenog popusta Hrvatskih autocesta za trošak cestarine (ENC), a indeks prati korištenje navedenog popusta (142,0). </w:t>
      </w:r>
    </w:p>
    <w:p w:rsidR="001937AE" w:rsidRDefault="001937AE"/>
    <w:p w:rsidR="001937AE" w:rsidRDefault="007C57CE">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w:t>
            </w:r>
          </w:p>
        </w:tc>
        <w:tc>
          <w:tcPr>
            <w:tcW w:w="3180" w:type="dxa"/>
            <w:tcMar>
              <w:top w:w="0" w:type="dxa"/>
              <w:bottom w:w="0" w:type="dxa"/>
            </w:tcMar>
            <w:vAlign w:val="center"/>
          </w:tcPr>
          <w:p w:rsidR="001937AE" w:rsidRDefault="007C57CE">
            <w:pPr>
              <w:keepNext/>
              <w:keepLines/>
              <w:spacing w:after="0" w:line="240" w:lineRule="auto"/>
            </w:pPr>
            <w:r>
              <w:rPr>
                <w:sz w:val="18"/>
              </w:rPr>
              <w:t>RASHODI POSLOVANJA (šifre 31+32+34+35+36+37+38)</w:t>
            </w:r>
          </w:p>
        </w:tc>
        <w:tc>
          <w:tcPr>
            <w:tcW w:w="700" w:type="dxa"/>
            <w:tcMar>
              <w:top w:w="0" w:type="dxa"/>
              <w:bottom w:w="0" w:type="dxa"/>
            </w:tcMar>
            <w:vAlign w:val="center"/>
          </w:tcPr>
          <w:p w:rsidR="001937AE" w:rsidRDefault="007C57CE">
            <w:pPr>
              <w:keepNext/>
              <w:keepLines/>
              <w:spacing w:after="0" w:line="240" w:lineRule="auto"/>
            </w:pPr>
            <w:r>
              <w:rPr>
                <w:sz w:val="18"/>
              </w:rPr>
              <w:t>3</w:t>
            </w:r>
          </w:p>
        </w:tc>
        <w:tc>
          <w:tcPr>
            <w:tcW w:w="1860" w:type="dxa"/>
            <w:tcMar>
              <w:top w:w="0" w:type="dxa"/>
              <w:bottom w:w="0" w:type="dxa"/>
            </w:tcMar>
            <w:vAlign w:val="center"/>
          </w:tcPr>
          <w:p w:rsidR="001937AE" w:rsidRDefault="007C57CE">
            <w:pPr>
              <w:keepNext/>
              <w:keepLines/>
              <w:spacing w:after="0" w:line="240" w:lineRule="auto"/>
              <w:jc w:val="right"/>
            </w:pPr>
            <w:r>
              <w:rPr>
                <w:sz w:val="18"/>
              </w:rPr>
              <w:t>721.176,37</w:t>
            </w:r>
          </w:p>
        </w:tc>
        <w:tc>
          <w:tcPr>
            <w:tcW w:w="1860" w:type="dxa"/>
            <w:tcMar>
              <w:top w:w="0" w:type="dxa"/>
              <w:bottom w:w="0" w:type="dxa"/>
            </w:tcMar>
            <w:vAlign w:val="center"/>
          </w:tcPr>
          <w:p w:rsidR="001937AE" w:rsidRDefault="007C57CE">
            <w:pPr>
              <w:keepNext/>
              <w:keepLines/>
              <w:spacing w:after="0" w:line="240" w:lineRule="auto"/>
              <w:jc w:val="right"/>
            </w:pPr>
            <w:r>
              <w:rPr>
                <w:sz w:val="18"/>
              </w:rPr>
              <w:t>1.207.884,21</w:t>
            </w:r>
          </w:p>
        </w:tc>
        <w:tc>
          <w:tcPr>
            <w:tcW w:w="700" w:type="dxa"/>
            <w:tcMar>
              <w:top w:w="0" w:type="dxa"/>
              <w:bottom w:w="0" w:type="dxa"/>
            </w:tcMar>
            <w:vAlign w:val="center"/>
          </w:tcPr>
          <w:p w:rsidR="001937AE" w:rsidRDefault="007C57CE">
            <w:pPr>
              <w:keepNext/>
              <w:keepLines/>
              <w:spacing w:after="0" w:line="240" w:lineRule="auto"/>
              <w:jc w:val="right"/>
            </w:pPr>
            <w:r>
              <w:rPr>
                <w:sz w:val="18"/>
              </w:rPr>
              <w:t>167,5</w:t>
            </w:r>
          </w:p>
        </w:tc>
      </w:tr>
    </w:tbl>
    <w:p w:rsidR="001937AE" w:rsidRDefault="001937AE">
      <w:pPr>
        <w:spacing w:after="0"/>
      </w:pPr>
    </w:p>
    <w:p w:rsidR="001937AE" w:rsidRDefault="007C57CE">
      <w:r>
        <w:t>3  Rashodi poslovanja ostvareni su u iznosu od 1.207.884,21 eura i bilježe rast indeksa (167,5) koji se uglavnom odnosi na primjenu novog Pravilnika o proračunskom računovodstvu i Računskom planu prema kojem je ukinuta podskupina računa 193 (Kontinuirani r</w:t>
      </w:r>
      <w:r>
        <w:t>ashodi budućih razdoblja), kao i provođenje aktivnosti u sklopu EU projekta transPlant. U nastavku se daju pojašnjenja za značajnija odstupanja kod pojedinih šifri.</w:t>
      </w:r>
    </w:p>
    <w:p w:rsidR="001937AE" w:rsidRDefault="001937AE"/>
    <w:p w:rsidR="001937AE" w:rsidRDefault="007C57CE">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w:t>
            </w:r>
            <w:r>
              <w:rPr>
                <w:b/>
                <w:sz w:val="18"/>
              </w:rPr>
              <w: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31</w:t>
            </w:r>
          </w:p>
        </w:tc>
        <w:tc>
          <w:tcPr>
            <w:tcW w:w="3180" w:type="dxa"/>
            <w:tcMar>
              <w:top w:w="0" w:type="dxa"/>
              <w:bottom w:w="0" w:type="dxa"/>
            </w:tcMar>
            <w:vAlign w:val="center"/>
          </w:tcPr>
          <w:p w:rsidR="001937AE" w:rsidRDefault="007C57CE">
            <w:pPr>
              <w:keepNext/>
              <w:keepLines/>
              <w:spacing w:after="0" w:line="240" w:lineRule="auto"/>
            </w:pPr>
            <w:r>
              <w:rPr>
                <w:sz w:val="18"/>
              </w:rPr>
              <w:t>Rashodi za zaposlene (šifre 311+312+313)</w:t>
            </w:r>
          </w:p>
        </w:tc>
        <w:tc>
          <w:tcPr>
            <w:tcW w:w="700" w:type="dxa"/>
            <w:tcMar>
              <w:top w:w="0" w:type="dxa"/>
              <w:bottom w:w="0" w:type="dxa"/>
            </w:tcMar>
            <w:vAlign w:val="center"/>
          </w:tcPr>
          <w:p w:rsidR="001937AE" w:rsidRDefault="007C57CE">
            <w:pPr>
              <w:keepNext/>
              <w:keepLines/>
              <w:spacing w:after="0" w:line="240" w:lineRule="auto"/>
            </w:pPr>
            <w:r>
              <w:rPr>
                <w:sz w:val="18"/>
              </w:rPr>
              <w:t>31</w:t>
            </w:r>
          </w:p>
        </w:tc>
        <w:tc>
          <w:tcPr>
            <w:tcW w:w="1860" w:type="dxa"/>
            <w:tcMar>
              <w:top w:w="0" w:type="dxa"/>
              <w:bottom w:w="0" w:type="dxa"/>
            </w:tcMar>
            <w:vAlign w:val="center"/>
          </w:tcPr>
          <w:p w:rsidR="001937AE" w:rsidRDefault="007C57CE">
            <w:pPr>
              <w:keepNext/>
              <w:keepLines/>
              <w:spacing w:after="0" w:line="240" w:lineRule="auto"/>
              <w:jc w:val="right"/>
            </w:pPr>
            <w:r>
              <w:rPr>
                <w:sz w:val="18"/>
              </w:rPr>
              <w:t>429.070,82</w:t>
            </w:r>
          </w:p>
        </w:tc>
        <w:tc>
          <w:tcPr>
            <w:tcW w:w="1860" w:type="dxa"/>
            <w:tcMar>
              <w:top w:w="0" w:type="dxa"/>
              <w:bottom w:w="0" w:type="dxa"/>
            </w:tcMar>
            <w:vAlign w:val="center"/>
          </w:tcPr>
          <w:p w:rsidR="001937AE" w:rsidRDefault="007C57CE">
            <w:pPr>
              <w:keepNext/>
              <w:keepLines/>
              <w:spacing w:after="0" w:line="240" w:lineRule="auto"/>
              <w:jc w:val="right"/>
            </w:pPr>
            <w:r>
              <w:rPr>
                <w:sz w:val="18"/>
              </w:rPr>
              <w:t>608.869,58</w:t>
            </w:r>
          </w:p>
        </w:tc>
        <w:tc>
          <w:tcPr>
            <w:tcW w:w="700" w:type="dxa"/>
            <w:tcMar>
              <w:top w:w="0" w:type="dxa"/>
              <w:bottom w:w="0" w:type="dxa"/>
            </w:tcMar>
            <w:vAlign w:val="center"/>
          </w:tcPr>
          <w:p w:rsidR="001937AE" w:rsidRDefault="007C57CE">
            <w:pPr>
              <w:keepNext/>
              <w:keepLines/>
              <w:spacing w:after="0" w:line="240" w:lineRule="auto"/>
              <w:jc w:val="right"/>
            </w:pPr>
            <w:r>
              <w:rPr>
                <w:sz w:val="18"/>
              </w:rPr>
              <w:t>141,9</w:t>
            </w:r>
          </w:p>
        </w:tc>
      </w:tr>
    </w:tbl>
    <w:p w:rsidR="001937AE" w:rsidRDefault="001937AE">
      <w:pPr>
        <w:spacing w:after="0"/>
      </w:pPr>
    </w:p>
    <w:p w:rsidR="001937AE" w:rsidRDefault="007C57CE">
      <w:r>
        <w:t>Povećanje indeksa se poglavito odnosi na primjenu novog Pravilnika o proračunskom računovodstvu i Računskom planu prema kojem je ukinuta podskupina računa 193 (Kontinuirani rashodi budućih razdoblja), te je u poslovnim knjigama evidentirano trinaest rashod</w:t>
      </w:r>
      <w:r>
        <w:t>a za plaću i topli obrok.</w:t>
      </w:r>
    </w:p>
    <w:p w:rsidR="001937AE" w:rsidRDefault="001937AE"/>
    <w:p w:rsidR="001937AE" w:rsidRDefault="007C57CE">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312</w:t>
            </w:r>
          </w:p>
        </w:tc>
        <w:tc>
          <w:tcPr>
            <w:tcW w:w="3180" w:type="dxa"/>
            <w:tcMar>
              <w:top w:w="0" w:type="dxa"/>
              <w:bottom w:w="0" w:type="dxa"/>
            </w:tcMar>
            <w:vAlign w:val="center"/>
          </w:tcPr>
          <w:p w:rsidR="001937AE" w:rsidRDefault="007C57CE">
            <w:pPr>
              <w:keepNext/>
              <w:keepLines/>
              <w:spacing w:after="0" w:line="240" w:lineRule="auto"/>
            </w:pPr>
            <w:r>
              <w:rPr>
                <w:sz w:val="18"/>
              </w:rPr>
              <w:t>Ostali rashodi za zaposlene</w:t>
            </w:r>
          </w:p>
        </w:tc>
        <w:tc>
          <w:tcPr>
            <w:tcW w:w="700" w:type="dxa"/>
            <w:tcMar>
              <w:top w:w="0" w:type="dxa"/>
              <w:bottom w:w="0" w:type="dxa"/>
            </w:tcMar>
            <w:vAlign w:val="center"/>
          </w:tcPr>
          <w:p w:rsidR="001937AE" w:rsidRDefault="007C57CE">
            <w:pPr>
              <w:keepNext/>
              <w:keepLines/>
              <w:spacing w:after="0" w:line="240" w:lineRule="auto"/>
            </w:pPr>
            <w:r>
              <w:rPr>
                <w:sz w:val="18"/>
              </w:rPr>
              <w:t>312</w:t>
            </w:r>
          </w:p>
        </w:tc>
        <w:tc>
          <w:tcPr>
            <w:tcW w:w="1860" w:type="dxa"/>
            <w:tcMar>
              <w:top w:w="0" w:type="dxa"/>
              <w:bottom w:w="0" w:type="dxa"/>
            </w:tcMar>
            <w:vAlign w:val="center"/>
          </w:tcPr>
          <w:p w:rsidR="001937AE" w:rsidRDefault="007C57CE">
            <w:pPr>
              <w:keepNext/>
              <w:keepLines/>
              <w:spacing w:after="0" w:line="240" w:lineRule="auto"/>
              <w:jc w:val="right"/>
            </w:pPr>
            <w:r>
              <w:rPr>
                <w:sz w:val="18"/>
              </w:rPr>
              <w:t>27.811,82</w:t>
            </w:r>
          </w:p>
        </w:tc>
        <w:tc>
          <w:tcPr>
            <w:tcW w:w="1860" w:type="dxa"/>
            <w:tcMar>
              <w:top w:w="0" w:type="dxa"/>
              <w:bottom w:w="0" w:type="dxa"/>
            </w:tcMar>
            <w:vAlign w:val="center"/>
          </w:tcPr>
          <w:p w:rsidR="001937AE" w:rsidRDefault="007C57CE">
            <w:pPr>
              <w:keepNext/>
              <w:keepLines/>
              <w:spacing w:after="0" w:line="240" w:lineRule="auto"/>
              <w:jc w:val="right"/>
            </w:pPr>
            <w:r>
              <w:rPr>
                <w:sz w:val="18"/>
              </w:rPr>
              <w:t>30.956,51</w:t>
            </w:r>
          </w:p>
        </w:tc>
        <w:tc>
          <w:tcPr>
            <w:tcW w:w="700" w:type="dxa"/>
            <w:tcMar>
              <w:top w:w="0" w:type="dxa"/>
              <w:bottom w:w="0" w:type="dxa"/>
            </w:tcMar>
            <w:vAlign w:val="center"/>
          </w:tcPr>
          <w:p w:rsidR="001937AE" w:rsidRDefault="007C57CE">
            <w:pPr>
              <w:keepNext/>
              <w:keepLines/>
              <w:spacing w:after="0" w:line="240" w:lineRule="auto"/>
              <w:jc w:val="right"/>
            </w:pPr>
            <w:r>
              <w:rPr>
                <w:sz w:val="18"/>
              </w:rPr>
              <w:t>111,3</w:t>
            </w:r>
          </w:p>
        </w:tc>
      </w:tr>
    </w:tbl>
    <w:p w:rsidR="001937AE" w:rsidRDefault="001937AE">
      <w:pPr>
        <w:spacing w:after="0"/>
      </w:pPr>
    </w:p>
    <w:p w:rsidR="001937AE" w:rsidRDefault="007C57CE">
      <w:r>
        <w:t>Ostali rashodi za zaposlene – indeks 111,3 – Bilježi se povećanje indeksa zbog obračuna i isplate otpremnine prestankom radnog odnosa i odlaskom u mirovinu zaposlenice Muzeja, kao i zbog evidentiranja trinaest naknada za topli obrok zbog primjene novog Pra</w:t>
      </w:r>
      <w:r>
        <w:t>vilnika o proračunskom računovodstvu i Računskom planu prema kojem je ukinuta podskupina računa 193 (Kontinuirani rashodi budućih razdoblja).</w:t>
      </w:r>
    </w:p>
    <w:p w:rsidR="001937AE" w:rsidRDefault="001937AE"/>
    <w:p w:rsidR="001937AE" w:rsidRDefault="007C57CE">
      <w:pPr>
        <w:keepNext/>
        <w:spacing w:line="240" w:lineRule="auto"/>
        <w:jc w:val="center"/>
      </w:pPr>
      <w:r>
        <w:rPr>
          <w:sz w:val="28"/>
        </w:rPr>
        <w:lastRenderedPageBreak/>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w:t>
            </w:r>
            <w:r>
              <w:rPr>
                <w:b/>
                <w:sz w:val="18"/>
              </w:rPr>
              <w:t>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313</w:t>
            </w:r>
          </w:p>
        </w:tc>
        <w:tc>
          <w:tcPr>
            <w:tcW w:w="3180" w:type="dxa"/>
            <w:tcMar>
              <w:top w:w="0" w:type="dxa"/>
              <w:bottom w:w="0" w:type="dxa"/>
            </w:tcMar>
            <w:vAlign w:val="center"/>
          </w:tcPr>
          <w:p w:rsidR="001937AE" w:rsidRDefault="007C57CE">
            <w:pPr>
              <w:keepNext/>
              <w:keepLines/>
              <w:spacing w:after="0" w:line="240" w:lineRule="auto"/>
            </w:pPr>
            <w:r>
              <w:rPr>
                <w:sz w:val="18"/>
              </w:rPr>
              <w:t>Doprinosi na plaće (šifre 3131 do 3133)</w:t>
            </w:r>
          </w:p>
        </w:tc>
        <w:tc>
          <w:tcPr>
            <w:tcW w:w="700" w:type="dxa"/>
            <w:tcMar>
              <w:top w:w="0" w:type="dxa"/>
              <w:bottom w:w="0" w:type="dxa"/>
            </w:tcMar>
            <w:vAlign w:val="center"/>
          </w:tcPr>
          <w:p w:rsidR="001937AE" w:rsidRDefault="007C57CE">
            <w:pPr>
              <w:keepNext/>
              <w:keepLines/>
              <w:spacing w:after="0" w:line="240" w:lineRule="auto"/>
            </w:pPr>
            <w:r>
              <w:rPr>
                <w:sz w:val="18"/>
              </w:rPr>
              <w:t>313</w:t>
            </w:r>
          </w:p>
        </w:tc>
        <w:tc>
          <w:tcPr>
            <w:tcW w:w="1860" w:type="dxa"/>
            <w:tcMar>
              <w:top w:w="0" w:type="dxa"/>
              <w:bottom w:w="0" w:type="dxa"/>
            </w:tcMar>
            <w:vAlign w:val="center"/>
          </w:tcPr>
          <w:p w:rsidR="001937AE" w:rsidRDefault="007C57CE">
            <w:pPr>
              <w:keepNext/>
              <w:keepLines/>
              <w:spacing w:after="0" w:line="240" w:lineRule="auto"/>
              <w:jc w:val="right"/>
            </w:pPr>
            <w:r>
              <w:rPr>
                <w:sz w:val="18"/>
              </w:rPr>
              <w:t>56.830,73</w:t>
            </w:r>
          </w:p>
        </w:tc>
        <w:tc>
          <w:tcPr>
            <w:tcW w:w="1860" w:type="dxa"/>
            <w:tcMar>
              <w:top w:w="0" w:type="dxa"/>
              <w:bottom w:w="0" w:type="dxa"/>
            </w:tcMar>
            <w:vAlign w:val="center"/>
          </w:tcPr>
          <w:p w:rsidR="001937AE" w:rsidRDefault="007C57CE">
            <w:pPr>
              <w:keepNext/>
              <w:keepLines/>
              <w:spacing w:after="0" w:line="240" w:lineRule="auto"/>
              <w:jc w:val="right"/>
            </w:pPr>
            <w:r>
              <w:rPr>
                <w:sz w:val="18"/>
              </w:rPr>
              <w:t>80.714,55</w:t>
            </w:r>
          </w:p>
        </w:tc>
        <w:tc>
          <w:tcPr>
            <w:tcW w:w="700" w:type="dxa"/>
            <w:tcMar>
              <w:top w:w="0" w:type="dxa"/>
              <w:bottom w:w="0" w:type="dxa"/>
            </w:tcMar>
            <w:vAlign w:val="center"/>
          </w:tcPr>
          <w:p w:rsidR="001937AE" w:rsidRDefault="007C57CE">
            <w:pPr>
              <w:keepNext/>
              <w:keepLines/>
              <w:spacing w:after="0" w:line="240" w:lineRule="auto"/>
              <w:jc w:val="right"/>
            </w:pPr>
            <w:r>
              <w:rPr>
                <w:sz w:val="18"/>
              </w:rPr>
              <w:t>142,0</w:t>
            </w:r>
          </w:p>
        </w:tc>
      </w:tr>
    </w:tbl>
    <w:p w:rsidR="001937AE" w:rsidRDefault="001937AE">
      <w:pPr>
        <w:spacing w:after="0"/>
      </w:pPr>
    </w:p>
    <w:p w:rsidR="001937AE" w:rsidRDefault="007C57CE">
      <w:r>
        <w:t>Povećanje indeksa (142,0) se poglavito odnosi na primjenu novog Pravilnika o proračunskom računovodstvu i Računskom planu prema kojem je ukinuta podskupina računa 193 (Kontinuirani rashodi budućih razdoblja), te je u poslovnim knjigama evidentirano trinaes</w:t>
      </w:r>
      <w:r>
        <w:t>t rashoda za doprinos za obvezno zdravstveno osiguranje.</w:t>
      </w:r>
    </w:p>
    <w:p w:rsidR="001937AE" w:rsidRDefault="001937AE"/>
    <w:p w:rsidR="001937AE" w:rsidRDefault="007C57CE">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3221</w:t>
            </w:r>
          </w:p>
        </w:tc>
        <w:tc>
          <w:tcPr>
            <w:tcW w:w="3180" w:type="dxa"/>
            <w:tcMar>
              <w:top w:w="0" w:type="dxa"/>
              <w:bottom w:w="0" w:type="dxa"/>
            </w:tcMar>
            <w:vAlign w:val="center"/>
          </w:tcPr>
          <w:p w:rsidR="001937AE" w:rsidRDefault="007C57CE">
            <w:pPr>
              <w:keepNext/>
              <w:keepLines/>
              <w:spacing w:after="0" w:line="240" w:lineRule="auto"/>
            </w:pPr>
            <w:r>
              <w:rPr>
                <w:sz w:val="18"/>
              </w:rPr>
              <w:t xml:space="preserve">Uredski materijal i ostali </w:t>
            </w:r>
            <w:r>
              <w:rPr>
                <w:sz w:val="18"/>
              </w:rPr>
              <w:t>materijalni rashodi</w:t>
            </w:r>
          </w:p>
        </w:tc>
        <w:tc>
          <w:tcPr>
            <w:tcW w:w="700" w:type="dxa"/>
            <w:tcMar>
              <w:top w:w="0" w:type="dxa"/>
              <w:bottom w:w="0" w:type="dxa"/>
            </w:tcMar>
            <w:vAlign w:val="center"/>
          </w:tcPr>
          <w:p w:rsidR="001937AE" w:rsidRDefault="007C57CE">
            <w:pPr>
              <w:keepNext/>
              <w:keepLines/>
              <w:spacing w:after="0" w:line="240" w:lineRule="auto"/>
            </w:pPr>
            <w:r>
              <w:rPr>
                <w:sz w:val="18"/>
              </w:rPr>
              <w:t>3221</w:t>
            </w:r>
          </w:p>
        </w:tc>
        <w:tc>
          <w:tcPr>
            <w:tcW w:w="1860" w:type="dxa"/>
            <w:tcMar>
              <w:top w:w="0" w:type="dxa"/>
              <w:bottom w:w="0" w:type="dxa"/>
            </w:tcMar>
            <w:vAlign w:val="center"/>
          </w:tcPr>
          <w:p w:rsidR="001937AE" w:rsidRDefault="007C57CE">
            <w:pPr>
              <w:keepNext/>
              <w:keepLines/>
              <w:spacing w:after="0" w:line="240" w:lineRule="auto"/>
              <w:jc w:val="right"/>
            </w:pPr>
            <w:r>
              <w:rPr>
                <w:sz w:val="18"/>
              </w:rPr>
              <w:t>6.624,01</w:t>
            </w:r>
          </w:p>
        </w:tc>
        <w:tc>
          <w:tcPr>
            <w:tcW w:w="1860" w:type="dxa"/>
            <w:tcMar>
              <w:top w:w="0" w:type="dxa"/>
              <w:bottom w:w="0" w:type="dxa"/>
            </w:tcMar>
            <w:vAlign w:val="center"/>
          </w:tcPr>
          <w:p w:rsidR="001937AE" w:rsidRDefault="007C57CE">
            <w:pPr>
              <w:keepNext/>
              <w:keepLines/>
              <w:spacing w:after="0" w:line="240" w:lineRule="auto"/>
              <w:jc w:val="right"/>
            </w:pPr>
            <w:r>
              <w:rPr>
                <w:sz w:val="18"/>
              </w:rPr>
              <w:t>8.022,77</w:t>
            </w:r>
          </w:p>
        </w:tc>
        <w:tc>
          <w:tcPr>
            <w:tcW w:w="700" w:type="dxa"/>
            <w:tcMar>
              <w:top w:w="0" w:type="dxa"/>
              <w:bottom w:w="0" w:type="dxa"/>
            </w:tcMar>
            <w:vAlign w:val="center"/>
          </w:tcPr>
          <w:p w:rsidR="001937AE" w:rsidRDefault="007C57CE">
            <w:pPr>
              <w:keepNext/>
              <w:keepLines/>
              <w:spacing w:after="0" w:line="240" w:lineRule="auto"/>
              <w:jc w:val="right"/>
            </w:pPr>
            <w:r>
              <w:rPr>
                <w:sz w:val="18"/>
              </w:rPr>
              <w:t>121,1</w:t>
            </w:r>
          </w:p>
        </w:tc>
      </w:tr>
    </w:tbl>
    <w:p w:rsidR="001937AE" w:rsidRDefault="001937AE">
      <w:pPr>
        <w:spacing w:after="0"/>
      </w:pPr>
    </w:p>
    <w:p w:rsidR="001937AE" w:rsidRDefault="007C57CE">
      <w:r>
        <w:t>Povećanje indeksa na šifri 3221 Uredski materijal i ostali materijalni rashodi (indeks 121,1)  izravno je povezano sa povećanjem cijena roba i usluga u odnosu na izvještajno razdoblje prethodne godine.</w:t>
      </w:r>
    </w:p>
    <w:p w:rsidR="001937AE" w:rsidRDefault="001937AE"/>
    <w:p w:rsidR="001937AE" w:rsidRDefault="007C57CE">
      <w:pPr>
        <w:keepNext/>
        <w:spacing w:line="240" w:lineRule="auto"/>
        <w:jc w:val="center"/>
      </w:pPr>
      <w:r>
        <w:rPr>
          <w:sz w:val="28"/>
        </w:rPr>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3233</w:t>
            </w:r>
          </w:p>
        </w:tc>
        <w:tc>
          <w:tcPr>
            <w:tcW w:w="3180" w:type="dxa"/>
            <w:tcMar>
              <w:top w:w="0" w:type="dxa"/>
              <w:bottom w:w="0" w:type="dxa"/>
            </w:tcMar>
            <w:vAlign w:val="center"/>
          </w:tcPr>
          <w:p w:rsidR="001937AE" w:rsidRDefault="007C57CE">
            <w:pPr>
              <w:keepNext/>
              <w:keepLines/>
              <w:spacing w:after="0" w:line="240" w:lineRule="auto"/>
            </w:pPr>
            <w:r>
              <w:rPr>
                <w:sz w:val="18"/>
              </w:rPr>
              <w:t>Usluge promidžbe i informiranja</w:t>
            </w:r>
          </w:p>
        </w:tc>
        <w:tc>
          <w:tcPr>
            <w:tcW w:w="700" w:type="dxa"/>
            <w:tcMar>
              <w:top w:w="0" w:type="dxa"/>
              <w:bottom w:w="0" w:type="dxa"/>
            </w:tcMar>
            <w:vAlign w:val="center"/>
          </w:tcPr>
          <w:p w:rsidR="001937AE" w:rsidRDefault="007C57CE">
            <w:pPr>
              <w:keepNext/>
              <w:keepLines/>
              <w:spacing w:after="0" w:line="240" w:lineRule="auto"/>
            </w:pPr>
            <w:r>
              <w:rPr>
                <w:sz w:val="18"/>
              </w:rPr>
              <w:t>3233</w:t>
            </w:r>
          </w:p>
        </w:tc>
        <w:tc>
          <w:tcPr>
            <w:tcW w:w="1860" w:type="dxa"/>
            <w:tcMar>
              <w:top w:w="0" w:type="dxa"/>
              <w:bottom w:w="0" w:type="dxa"/>
            </w:tcMar>
            <w:vAlign w:val="center"/>
          </w:tcPr>
          <w:p w:rsidR="001937AE" w:rsidRDefault="007C57CE">
            <w:pPr>
              <w:keepNext/>
              <w:keepLines/>
              <w:spacing w:after="0" w:line="240" w:lineRule="auto"/>
              <w:jc w:val="right"/>
            </w:pPr>
            <w:r>
              <w:rPr>
                <w:sz w:val="18"/>
              </w:rPr>
              <w:t>1.973,28</w:t>
            </w:r>
          </w:p>
        </w:tc>
        <w:tc>
          <w:tcPr>
            <w:tcW w:w="1860" w:type="dxa"/>
            <w:tcMar>
              <w:top w:w="0" w:type="dxa"/>
              <w:bottom w:w="0" w:type="dxa"/>
            </w:tcMar>
            <w:vAlign w:val="center"/>
          </w:tcPr>
          <w:p w:rsidR="001937AE" w:rsidRDefault="007C57CE">
            <w:pPr>
              <w:keepNext/>
              <w:keepLines/>
              <w:spacing w:after="0" w:line="240" w:lineRule="auto"/>
              <w:jc w:val="right"/>
            </w:pPr>
            <w:r>
              <w:rPr>
                <w:sz w:val="18"/>
              </w:rPr>
              <w:t>6.592,90</w:t>
            </w:r>
          </w:p>
        </w:tc>
        <w:tc>
          <w:tcPr>
            <w:tcW w:w="700" w:type="dxa"/>
            <w:tcMar>
              <w:top w:w="0" w:type="dxa"/>
              <w:bottom w:w="0" w:type="dxa"/>
            </w:tcMar>
            <w:vAlign w:val="center"/>
          </w:tcPr>
          <w:p w:rsidR="001937AE" w:rsidRDefault="007C57CE">
            <w:pPr>
              <w:keepNext/>
              <w:keepLines/>
              <w:spacing w:after="0" w:line="240" w:lineRule="auto"/>
              <w:jc w:val="right"/>
            </w:pPr>
            <w:r>
              <w:rPr>
                <w:sz w:val="18"/>
              </w:rPr>
              <w:t>334,1</w:t>
            </w:r>
          </w:p>
        </w:tc>
      </w:tr>
    </w:tbl>
    <w:p w:rsidR="001937AE" w:rsidRDefault="001937AE">
      <w:pPr>
        <w:spacing w:after="0"/>
      </w:pPr>
    </w:p>
    <w:p w:rsidR="001937AE" w:rsidRDefault="007C57CE">
      <w:r>
        <w:t>Izrazito povećanje indeksa u odnosu na izvještajno razdoblje prethodne godine (334,1) zahvaljujući realizaciji ugovora o nabavi  promidžbenog materijala u sklopu EU projekta transPlant.</w:t>
      </w:r>
    </w:p>
    <w:p w:rsidR="001937AE" w:rsidRDefault="001937AE"/>
    <w:p w:rsidR="001937AE" w:rsidRDefault="007C57CE">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w:t>
            </w:r>
            <w:r>
              <w:rPr>
                <w:b/>
                <w:sz w:val="18"/>
              </w:rPr>
              <w:t>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3236</w:t>
            </w:r>
          </w:p>
        </w:tc>
        <w:tc>
          <w:tcPr>
            <w:tcW w:w="3180" w:type="dxa"/>
            <w:tcMar>
              <w:top w:w="0" w:type="dxa"/>
              <w:bottom w:w="0" w:type="dxa"/>
            </w:tcMar>
            <w:vAlign w:val="center"/>
          </w:tcPr>
          <w:p w:rsidR="001937AE" w:rsidRDefault="007C57CE">
            <w:pPr>
              <w:keepNext/>
              <w:keepLines/>
              <w:spacing w:after="0" w:line="240" w:lineRule="auto"/>
            </w:pPr>
            <w:r>
              <w:rPr>
                <w:sz w:val="18"/>
              </w:rPr>
              <w:t>Zdravstvene i veterinarske usluge</w:t>
            </w:r>
          </w:p>
        </w:tc>
        <w:tc>
          <w:tcPr>
            <w:tcW w:w="700" w:type="dxa"/>
            <w:tcMar>
              <w:top w:w="0" w:type="dxa"/>
              <w:bottom w:w="0" w:type="dxa"/>
            </w:tcMar>
            <w:vAlign w:val="center"/>
          </w:tcPr>
          <w:p w:rsidR="001937AE" w:rsidRDefault="007C57CE">
            <w:pPr>
              <w:keepNext/>
              <w:keepLines/>
              <w:spacing w:after="0" w:line="240" w:lineRule="auto"/>
            </w:pPr>
            <w:r>
              <w:rPr>
                <w:sz w:val="18"/>
              </w:rPr>
              <w:t>3236</w:t>
            </w:r>
          </w:p>
        </w:tc>
        <w:tc>
          <w:tcPr>
            <w:tcW w:w="1860" w:type="dxa"/>
            <w:tcMar>
              <w:top w:w="0" w:type="dxa"/>
              <w:bottom w:w="0" w:type="dxa"/>
            </w:tcMar>
            <w:vAlign w:val="center"/>
          </w:tcPr>
          <w:p w:rsidR="001937AE" w:rsidRDefault="007C57CE">
            <w:pPr>
              <w:keepNext/>
              <w:keepLines/>
              <w:spacing w:after="0" w:line="240" w:lineRule="auto"/>
              <w:jc w:val="right"/>
            </w:pPr>
            <w:r>
              <w:rPr>
                <w:sz w:val="18"/>
              </w:rPr>
              <w:t>5.237,29</w:t>
            </w:r>
          </w:p>
        </w:tc>
        <w:tc>
          <w:tcPr>
            <w:tcW w:w="1860" w:type="dxa"/>
            <w:tcMar>
              <w:top w:w="0" w:type="dxa"/>
              <w:bottom w:w="0" w:type="dxa"/>
            </w:tcMar>
            <w:vAlign w:val="center"/>
          </w:tcPr>
          <w:p w:rsidR="001937AE" w:rsidRDefault="007C57CE">
            <w:pPr>
              <w:keepNext/>
              <w:keepLines/>
              <w:spacing w:after="0" w:line="240" w:lineRule="auto"/>
              <w:jc w:val="right"/>
            </w:pPr>
            <w:r>
              <w:rPr>
                <w:sz w:val="18"/>
              </w:rPr>
              <w:t>6.898,80</w:t>
            </w:r>
          </w:p>
        </w:tc>
        <w:tc>
          <w:tcPr>
            <w:tcW w:w="700" w:type="dxa"/>
            <w:tcMar>
              <w:top w:w="0" w:type="dxa"/>
              <w:bottom w:w="0" w:type="dxa"/>
            </w:tcMar>
            <w:vAlign w:val="center"/>
          </w:tcPr>
          <w:p w:rsidR="001937AE" w:rsidRDefault="007C57CE">
            <w:pPr>
              <w:keepNext/>
              <w:keepLines/>
              <w:spacing w:after="0" w:line="240" w:lineRule="auto"/>
              <w:jc w:val="right"/>
            </w:pPr>
            <w:r>
              <w:rPr>
                <w:sz w:val="18"/>
              </w:rPr>
              <w:t>131,7</w:t>
            </w:r>
          </w:p>
        </w:tc>
      </w:tr>
    </w:tbl>
    <w:p w:rsidR="001937AE" w:rsidRDefault="001937AE">
      <w:pPr>
        <w:spacing w:after="0"/>
      </w:pPr>
    </w:p>
    <w:p w:rsidR="001937AE" w:rsidRDefault="007C57CE">
      <w:r>
        <w:t>Bilježi se povećanje indeksa (131,7) zbog troškova DNA analize, genopotizacije kloroplastnim molekularnim biljezima za potrebe  EU projekta transPlant;</w:t>
      </w:r>
    </w:p>
    <w:p w:rsidR="001937AE" w:rsidRDefault="001937AE"/>
    <w:p w:rsidR="001937AE" w:rsidRDefault="007C57CE">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324</w:t>
            </w:r>
          </w:p>
        </w:tc>
        <w:tc>
          <w:tcPr>
            <w:tcW w:w="3180" w:type="dxa"/>
            <w:tcMar>
              <w:top w:w="0" w:type="dxa"/>
              <w:bottom w:w="0" w:type="dxa"/>
            </w:tcMar>
            <w:vAlign w:val="center"/>
          </w:tcPr>
          <w:p w:rsidR="001937AE" w:rsidRDefault="007C57CE">
            <w:pPr>
              <w:keepNext/>
              <w:keepLines/>
              <w:spacing w:after="0" w:line="240" w:lineRule="auto"/>
            </w:pPr>
            <w:r>
              <w:rPr>
                <w:sz w:val="18"/>
              </w:rPr>
              <w:t>Naknade troškova osobama izvan radnog odnosa</w:t>
            </w:r>
          </w:p>
        </w:tc>
        <w:tc>
          <w:tcPr>
            <w:tcW w:w="700" w:type="dxa"/>
            <w:tcMar>
              <w:top w:w="0" w:type="dxa"/>
              <w:bottom w:w="0" w:type="dxa"/>
            </w:tcMar>
            <w:vAlign w:val="center"/>
          </w:tcPr>
          <w:p w:rsidR="001937AE" w:rsidRDefault="007C57CE">
            <w:pPr>
              <w:keepNext/>
              <w:keepLines/>
              <w:spacing w:after="0" w:line="240" w:lineRule="auto"/>
            </w:pPr>
            <w:r>
              <w:rPr>
                <w:sz w:val="18"/>
              </w:rPr>
              <w:t>324</w:t>
            </w:r>
          </w:p>
        </w:tc>
        <w:tc>
          <w:tcPr>
            <w:tcW w:w="1860" w:type="dxa"/>
            <w:tcMar>
              <w:top w:w="0" w:type="dxa"/>
              <w:bottom w:w="0" w:type="dxa"/>
            </w:tcMar>
            <w:vAlign w:val="center"/>
          </w:tcPr>
          <w:p w:rsidR="001937AE" w:rsidRDefault="007C57CE">
            <w:pPr>
              <w:keepNext/>
              <w:keepLines/>
              <w:spacing w:after="0" w:line="240" w:lineRule="auto"/>
              <w:jc w:val="right"/>
            </w:pPr>
            <w:r>
              <w:rPr>
                <w:sz w:val="18"/>
              </w:rPr>
              <w:t>131,00</w:t>
            </w:r>
          </w:p>
        </w:tc>
        <w:tc>
          <w:tcPr>
            <w:tcW w:w="1860" w:type="dxa"/>
            <w:tcMar>
              <w:top w:w="0" w:type="dxa"/>
              <w:bottom w:w="0" w:type="dxa"/>
            </w:tcMar>
            <w:vAlign w:val="center"/>
          </w:tcPr>
          <w:p w:rsidR="001937AE" w:rsidRDefault="007C57CE">
            <w:pPr>
              <w:keepNext/>
              <w:keepLines/>
              <w:spacing w:after="0" w:line="240" w:lineRule="auto"/>
              <w:jc w:val="right"/>
            </w:pPr>
            <w:r>
              <w:rPr>
                <w:sz w:val="18"/>
              </w:rPr>
              <w:t>465,70</w:t>
            </w:r>
          </w:p>
        </w:tc>
        <w:tc>
          <w:tcPr>
            <w:tcW w:w="700" w:type="dxa"/>
            <w:tcMar>
              <w:top w:w="0" w:type="dxa"/>
              <w:bottom w:w="0" w:type="dxa"/>
            </w:tcMar>
            <w:vAlign w:val="center"/>
          </w:tcPr>
          <w:p w:rsidR="001937AE" w:rsidRDefault="007C57CE">
            <w:pPr>
              <w:keepNext/>
              <w:keepLines/>
              <w:spacing w:after="0" w:line="240" w:lineRule="auto"/>
              <w:jc w:val="right"/>
            </w:pPr>
            <w:r>
              <w:rPr>
                <w:sz w:val="18"/>
              </w:rPr>
              <w:t>355,5</w:t>
            </w:r>
          </w:p>
        </w:tc>
      </w:tr>
    </w:tbl>
    <w:p w:rsidR="001937AE" w:rsidRDefault="001937AE">
      <w:pPr>
        <w:spacing w:after="0"/>
      </w:pPr>
    </w:p>
    <w:p w:rsidR="001937AE" w:rsidRDefault="007C57CE">
      <w:r>
        <w:t>324 - Naknade troškova osobama izvan radnog odnosa – naizgled znatno povećanje u indeksu (355,5) vrijednosno ne ukazuje na odstupanje, već je proizvod dinamike poslovanja.</w:t>
      </w:r>
    </w:p>
    <w:p w:rsidR="001937AE" w:rsidRDefault="001937AE"/>
    <w:p w:rsidR="001937AE" w:rsidRDefault="007C57CE">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izvještajnom </w:t>
            </w:r>
            <w:r>
              <w:rPr>
                <w:b/>
                <w:sz w:val="18"/>
              </w:rPr>
              <w:t>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3291</w:t>
            </w:r>
          </w:p>
        </w:tc>
        <w:tc>
          <w:tcPr>
            <w:tcW w:w="3180" w:type="dxa"/>
            <w:tcMar>
              <w:top w:w="0" w:type="dxa"/>
              <w:bottom w:w="0" w:type="dxa"/>
            </w:tcMar>
            <w:vAlign w:val="center"/>
          </w:tcPr>
          <w:p w:rsidR="001937AE" w:rsidRDefault="007C57CE">
            <w:pPr>
              <w:keepNext/>
              <w:keepLines/>
              <w:spacing w:after="0" w:line="240" w:lineRule="auto"/>
            </w:pPr>
            <w:r>
              <w:rPr>
                <w:sz w:val="18"/>
              </w:rPr>
              <w:t>Naknade za rad predstavničkih i izvršnih tijela, povjerenstava i slično</w:t>
            </w:r>
          </w:p>
        </w:tc>
        <w:tc>
          <w:tcPr>
            <w:tcW w:w="700" w:type="dxa"/>
            <w:tcMar>
              <w:top w:w="0" w:type="dxa"/>
              <w:bottom w:w="0" w:type="dxa"/>
            </w:tcMar>
            <w:vAlign w:val="center"/>
          </w:tcPr>
          <w:p w:rsidR="001937AE" w:rsidRDefault="007C57CE">
            <w:pPr>
              <w:keepNext/>
              <w:keepLines/>
              <w:spacing w:after="0" w:line="240" w:lineRule="auto"/>
            </w:pPr>
            <w:r>
              <w:rPr>
                <w:sz w:val="18"/>
              </w:rPr>
              <w:t>3291</w:t>
            </w:r>
          </w:p>
        </w:tc>
        <w:tc>
          <w:tcPr>
            <w:tcW w:w="1860" w:type="dxa"/>
            <w:tcMar>
              <w:top w:w="0" w:type="dxa"/>
              <w:bottom w:w="0" w:type="dxa"/>
            </w:tcMar>
            <w:vAlign w:val="center"/>
          </w:tcPr>
          <w:p w:rsidR="001937AE" w:rsidRDefault="007C57CE">
            <w:pPr>
              <w:keepNext/>
              <w:keepLines/>
              <w:spacing w:after="0" w:line="240" w:lineRule="auto"/>
              <w:jc w:val="right"/>
            </w:pPr>
            <w:r>
              <w:rPr>
                <w:sz w:val="18"/>
              </w:rPr>
              <w:t>3.255,48</w:t>
            </w:r>
          </w:p>
        </w:tc>
        <w:tc>
          <w:tcPr>
            <w:tcW w:w="1860" w:type="dxa"/>
            <w:tcMar>
              <w:top w:w="0" w:type="dxa"/>
              <w:bottom w:w="0" w:type="dxa"/>
            </w:tcMar>
            <w:vAlign w:val="center"/>
          </w:tcPr>
          <w:p w:rsidR="001937AE" w:rsidRDefault="007C57CE">
            <w:pPr>
              <w:keepNext/>
              <w:keepLines/>
              <w:spacing w:after="0" w:line="240" w:lineRule="auto"/>
              <w:jc w:val="right"/>
            </w:pPr>
            <w:r>
              <w:rPr>
                <w:sz w:val="18"/>
              </w:rPr>
              <w:t>3.521,18</w:t>
            </w:r>
          </w:p>
        </w:tc>
        <w:tc>
          <w:tcPr>
            <w:tcW w:w="700" w:type="dxa"/>
            <w:tcMar>
              <w:top w:w="0" w:type="dxa"/>
              <w:bottom w:w="0" w:type="dxa"/>
            </w:tcMar>
            <w:vAlign w:val="center"/>
          </w:tcPr>
          <w:p w:rsidR="001937AE" w:rsidRDefault="007C57CE">
            <w:pPr>
              <w:keepNext/>
              <w:keepLines/>
              <w:spacing w:after="0" w:line="240" w:lineRule="auto"/>
              <w:jc w:val="right"/>
            </w:pPr>
            <w:r>
              <w:rPr>
                <w:sz w:val="18"/>
              </w:rPr>
              <w:t>108,2</w:t>
            </w:r>
          </w:p>
        </w:tc>
      </w:tr>
    </w:tbl>
    <w:p w:rsidR="001937AE" w:rsidRDefault="001937AE">
      <w:pPr>
        <w:spacing w:after="0"/>
      </w:pPr>
    </w:p>
    <w:p w:rsidR="001937AE" w:rsidRDefault="007C57CE">
      <w:r>
        <w:t>Povećanje indeksa se odnosi na primjenu novog Pravilnika o proračunskom računovodstvu i Računskom planu prema kojem je ukinuta podskupina računa 193 (Kontinuirani rashodi budućih razdoblja), te je u poslovnim knjigama evidentirano trinaest rashoda za nakna</w:t>
      </w:r>
      <w:r>
        <w:t>du članovima Upravnog vijeća.</w:t>
      </w:r>
    </w:p>
    <w:p w:rsidR="001937AE" w:rsidRDefault="001937AE"/>
    <w:p w:rsidR="001937AE" w:rsidRDefault="007C57CE">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3293</w:t>
            </w:r>
          </w:p>
        </w:tc>
        <w:tc>
          <w:tcPr>
            <w:tcW w:w="3180" w:type="dxa"/>
            <w:tcMar>
              <w:top w:w="0" w:type="dxa"/>
              <w:bottom w:w="0" w:type="dxa"/>
            </w:tcMar>
            <w:vAlign w:val="center"/>
          </w:tcPr>
          <w:p w:rsidR="001937AE" w:rsidRDefault="007C57CE">
            <w:pPr>
              <w:keepNext/>
              <w:keepLines/>
              <w:spacing w:after="0" w:line="240" w:lineRule="auto"/>
            </w:pPr>
            <w:r>
              <w:rPr>
                <w:sz w:val="18"/>
              </w:rPr>
              <w:t>Reprezentacija</w:t>
            </w:r>
          </w:p>
        </w:tc>
        <w:tc>
          <w:tcPr>
            <w:tcW w:w="700" w:type="dxa"/>
            <w:tcMar>
              <w:top w:w="0" w:type="dxa"/>
              <w:bottom w:w="0" w:type="dxa"/>
            </w:tcMar>
            <w:vAlign w:val="center"/>
          </w:tcPr>
          <w:p w:rsidR="001937AE" w:rsidRDefault="007C57CE">
            <w:pPr>
              <w:keepNext/>
              <w:keepLines/>
              <w:spacing w:after="0" w:line="240" w:lineRule="auto"/>
            </w:pPr>
            <w:r>
              <w:rPr>
                <w:sz w:val="18"/>
              </w:rPr>
              <w:t>3293</w:t>
            </w:r>
          </w:p>
        </w:tc>
        <w:tc>
          <w:tcPr>
            <w:tcW w:w="1860" w:type="dxa"/>
            <w:tcMar>
              <w:top w:w="0" w:type="dxa"/>
              <w:bottom w:w="0" w:type="dxa"/>
            </w:tcMar>
            <w:vAlign w:val="center"/>
          </w:tcPr>
          <w:p w:rsidR="001937AE" w:rsidRDefault="007C57CE">
            <w:pPr>
              <w:keepNext/>
              <w:keepLines/>
              <w:spacing w:after="0" w:line="240" w:lineRule="auto"/>
              <w:jc w:val="right"/>
            </w:pPr>
            <w:r>
              <w:rPr>
                <w:sz w:val="18"/>
              </w:rPr>
              <w:t>6.017,05</w:t>
            </w:r>
          </w:p>
        </w:tc>
        <w:tc>
          <w:tcPr>
            <w:tcW w:w="1860" w:type="dxa"/>
            <w:tcMar>
              <w:top w:w="0" w:type="dxa"/>
              <w:bottom w:w="0" w:type="dxa"/>
            </w:tcMar>
            <w:vAlign w:val="center"/>
          </w:tcPr>
          <w:p w:rsidR="001937AE" w:rsidRDefault="007C57CE">
            <w:pPr>
              <w:keepNext/>
              <w:keepLines/>
              <w:spacing w:after="0" w:line="240" w:lineRule="auto"/>
              <w:jc w:val="right"/>
            </w:pPr>
            <w:r>
              <w:rPr>
                <w:sz w:val="18"/>
              </w:rPr>
              <w:t>7.142,48</w:t>
            </w:r>
          </w:p>
        </w:tc>
        <w:tc>
          <w:tcPr>
            <w:tcW w:w="700" w:type="dxa"/>
            <w:tcMar>
              <w:top w:w="0" w:type="dxa"/>
              <w:bottom w:w="0" w:type="dxa"/>
            </w:tcMar>
            <w:vAlign w:val="center"/>
          </w:tcPr>
          <w:p w:rsidR="001937AE" w:rsidRDefault="007C57CE">
            <w:pPr>
              <w:keepNext/>
              <w:keepLines/>
              <w:spacing w:after="0" w:line="240" w:lineRule="auto"/>
              <w:jc w:val="right"/>
            </w:pPr>
            <w:r>
              <w:rPr>
                <w:sz w:val="18"/>
              </w:rPr>
              <w:t>118,7</w:t>
            </w:r>
          </w:p>
        </w:tc>
      </w:tr>
    </w:tbl>
    <w:p w:rsidR="001937AE" w:rsidRDefault="001937AE">
      <w:pPr>
        <w:spacing w:after="0"/>
      </w:pPr>
    </w:p>
    <w:p w:rsidR="001937AE" w:rsidRDefault="007C57CE">
      <w:r>
        <w:t>Povećanje indeksa rashoda za reprezentaciju (118,7) je nastalo zbog troška cateringa povodom završne konferencije u sklopu EU projekta FASIH, te prilikom odvijanja cjelodnevnog programa radionica predstavljanja i usavršavanja na temu zaštite prirode u sklo</w:t>
      </w:r>
      <w:r>
        <w:t>pu EU projekta transPlant.</w:t>
      </w:r>
    </w:p>
    <w:p w:rsidR="001937AE" w:rsidRDefault="001937AE"/>
    <w:p w:rsidR="001937AE" w:rsidRDefault="007C57CE">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361</w:t>
            </w:r>
          </w:p>
        </w:tc>
        <w:tc>
          <w:tcPr>
            <w:tcW w:w="3180" w:type="dxa"/>
            <w:tcMar>
              <w:top w:w="0" w:type="dxa"/>
              <w:bottom w:w="0" w:type="dxa"/>
            </w:tcMar>
            <w:vAlign w:val="center"/>
          </w:tcPr>
          <w:p w:rsidR="001937AE" w:rsidRDefault="007C57CE">
            <w:pPr>
              <w:keepNext/>
              <w:keepLines/>
              <w:spacing w:after="0" w:line="240" w:lineRule="auto"/>
            </w:pPr>
            <w:r>
              <w:rPr>
                <w:sz w:val="18"/>
              </w:rPr>
              <w:t>Pomoći inozemnim vladama (šifre 3611+3612)</w:t>
            </w:r>
          </w:p>
        </w:tc>
        <w:tc>
          <w:tcPr>
            <w:tcW w:w="700" w:type="dxa"/>
            <w:tcMar>
              <w:top w:w="0" w:type="dxa"/>
              <w:bottom w:w="0" w:type="dxa"/>
            </w:tcMar>
            <w:vAlign w:val="center"/>
          </w:tcPr>
          <w:p w:rsidR="001937AE" w:rsidRDefault="007C57CE">
            <w:pPr>
              <w:keepNext/>
              <w:keepLines/>
              <w:spacing w:after="0" w:line="240" w:lineRule="auto"/>
            </w:pPr>
            <w:r>
              <w:rPr>
                <w:sz w:val="18"/>
              </w:rPr>
              <w:t>361</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238.447,33</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lastRenderedPageBreak/>
        <w:t>Na šifri 361 - Pomoći inozemnim vladama nema podatka iz prethodne godine za usporedbu a evidentiran je prijenos partnerima na EU projektu INTERREG Slo-Hr Transplant iz Slovenije (Znanstvenoraziskovalni center Slovenske akademije znanosti in umetnosti - ZRC</w:t>
      </w:r>
      <w:r>
        <w:t xml:space="preserve"> SAZU, Univerza na Primorskem, Javni zavod park Škocjanske jame i Zavod Republike Slovenije za varstvo narave - ZRSVN) po odobrenim projektnim izvještajima.</w:t>
      </w:r>
    </w:p>
    <w:p w:rsidR="001937AE" w:rsidRDefault="001937AE"/>
    <w:p w:rsidR="001937AE" w:rsidRDefault="007C57CE">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izvještajnom razdoblju prethodne </w:t>
            </w:r>
            <w:r>
              <w:rPr>
                <w:b/>
                <w:sz w:val="18"/>
              </w:rPr>
              <w:t>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363</w:t>
            </w:r>
          </w:p>
        </w:tc>
        <w:tc>
          <w:tcPr>
            <w:tcW w:w="3180" w:type="dxa"/>
            <w:tcMar>
              <w:top w:w="0" w:type="dxa"/>
              <w:bottom w:w="0" w:type="dxa"/>
            </w:tcMar>
            <w:vAlign w:val="center"/>
          </w:tcPr>
          <w:p w:rsidR="001937AE" w:rsidRDefault="007C57CE">
            <w:pPr>
              <w:keepNext/>
              <w:keepLines/>
              <w:spacing w:after="0" w:line="240" w:lineRule="auto"/>
            </w:pPr>
            <w:r>
              <w:rPr>
                <w:sz w:val="18"/>
              </w:rPr>
              <w:t>Pomoći drugom proračunu i izvanproračunskim korisnicima (šifre 3631 do 3636)</w:t>
            </w:r>
          </w:p>
        </w:tc>
        <w:tc>
          <w:tcPr>
            <w:tcW w:w="700" w:type="dxa"/>
            <w:tcMar>
              <w:top w:w="0" w:type="dxa"/>
              <w:bottom w:w="0" w:type="dxa"/>
            </w:tcMar>
            <w:vAlign w:val="center"/>
          </w:tcPr>
          <w:p w:rsidR="001937AE" w:rsidRDefault="007C57CE">
            <w:pPr>
              <w:keepNext/>
              <w:keepLines/>
              <w:spacing w:after="0" w:line="240" w:lineRule="auto"/>
            </w:pPr>
            <w:r>
              <w:rPr>
                <w:sz w:val="18"/>
              </w:rPr>
              <w:t>363</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3.284,14</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Na šifri 363 - Pomoći drugom proračunu i izvanproračunskim korisnicima nema podatka iz prethodne godine za usporedbu a evidentiran je prijenos partnerima na EU projektu transplant bespovratnih sredstava Programa sufinanciranja provedbe EU projekata.</w:t>
      </w:r>
    </w:p>
    <w:p w:rsidR="001937AE" w:rsidRDefault="001937AE"/>
    <w:p w:rsidR="001937AE" w:rsidRDefault="007C57CE">
      <w:pPr>
        <w:keepNext/>
        <w:spacing w:line="240" w:lineRule="auto"/>
        <w:jc w:val="center"/>
      </w:pPr>
      <w:r>
        <w:rPr>
          <w:sz w:val="28"/>
        </w:rPr>
        <w:t>Bilje</w:t>
      </w:r>
      <w:r>
        <w:rPr>
          <w:sz w:val="28"/>
        </w:rPr>
        <w:t>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368</w:t>
            </w:r>
          </w:p>
        </w:tc>
        <w:tc>
          <w:tcPr>
            <w:tcW w:w="3180" w:type="dxa"/>
            <w:tcMar>
              <w:top w:w="0" w:type="dxa"/>
              <w:bottom w:w="0" w:type="dxa"/>
            </w:tcMar>
            <w:vAlign w:val="center"/>
          </w:tcPr>
          <w:p w:rsidR="001937AE" w:rsidRDefault="007C57CE">
            <w:pPr>
              <w:keepNext/>
              <w:keepLines/>
              <w:spacing w:after="0" w:line="240" w:lineRule="auto"/>
            </w:pPr>
            <w:r>
              <w:rPr>
                <w:sz w:val="18"/>
              </w:rPr>
              <w:t>Pomoći temeljem prijenosa EU sredstava (šifre 3681+3682)</w:t>
            </w:r>
          </w:p>
        </w:tc>
        <w:tc>
          <w:tcPr>
            <w:tcW w:w="700" w:type="dxa"/>
            <w:tcMar>
              <w:top w:w="0" w:type="dxa"/>
              <w:bottom w:w="0" w:type="dxa"/>
            </w:tcMar>
            <w:vAlign w:val="center"/>
          </w:tcPr>
          <w:p w:rsidR="001937AE" w:rsidRDefault="007C57CE">
            <w:pPr>
              <w:keepNext/>
              <w:keepLines/>
              <w:spacing w:after="0" w:line="240" w:lineRule="auto"/>
            </w:pPr>
            <w:r>
              <w:rPr>
                <w:sz w:val="18"/>
              </w:rPr>
              <w:t>368</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29.117,66</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Na šifri 368 - Pomoći temeljem prijenosa EU sredstva nema podatka iz prethodne godine za usporedbu a evidentiran je prijenos partnerima na EU projektu INTERREG Slo-Hr Transplant (NP Risnjak) temeljem odobrenih projektnih izvještaja.</w:t>
      </w:r>
    </w:p>
    <w:p w:rsidR="001937AE" w:rsidRDefault="001937AE"/>
    <w:p w:rsidR="001937AE" w:rsidRDefault="007C57CE">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Račun iz </w:t>
            </w:r>
            <w:r>
              <w:rPr>
                <w:b/>
                <w:sz w:val="18"/>
              </w:rPr>
              <w:t>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372</w:t>
            </w:r>
          </w:p>
        </w:tc>
        <w:tc>
          <w:tcPr>
            <w:tcW w:w="3180" w:type="dxa"/>
            <w:tcMar>
              <w:top w:w="0" w:type="dxa"/>
              <w:bottom w:w="0" w:type="dxa"/>
            </w:tcMar>
            <w:vAlign w:val="center"/>
          </w:tcPr>
          <w:p w:rsidR="001937AE" w:rsidRDefault="007C57CE">
            <w:pPr>
              <w:keepNext/>
              <w:keepLines/>
              <w:spacing w:after="0" w:line="240" w:lineRule="auto"/>
            </w:pPr>
            <w:r>
              <w:rPr>
                <w:sz w:val="18"/>
              </w:rPr>
              <w:t>Ostale naknade građanima i kućanstvima iz proračuna (šifre 3721 do 3723)</w:t>
            </w:r>
          </w:p>
        </w:tc>
        <w:tc>
          <w:tcPr>
            <w:tcW w:w="700" w:type="dxa"/>
            <w:tcMar>
              <w:top w:w="0" w:type="dxa"/>
              <w:bottom w:w="0" w:type="dxa"/>
            </w:tcMar>
            <w:vAlign w:val="center"/>
          </w:tcPr>
          <w:p w:rsidR="001937AE" w:rsidRDefault="007C57CE">
            <w:pPr>
              <w:keepNext/>
              <w:keepLines/>
              <w:spacing w:after="0" w:line="240" w:lineRule="auto"/>
            </w:pPr>
            <w:r>
              <w:rPr>
                <w:sz w:val="18"/>
              </w:rPr>
              <w:t>372</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2.700,00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372 – Naknade građanima i kućanstvima – nema podatka za usporedbu iz obračunskog razdoblja prethodne godine a radi se o školarini poslijediplomskog studija biologije za novozaposenog kustosa.</w:t>
      </w:r>
    </w:p>
    <w:p w:rsidR="001937AE" w:rsidRDefault="001937AE"/>
    <w:p w:rsidR="001937AE" w:rsidRDefault="007C57CE">
      <w:pPr>
        <w:keepNext/>
        <w:spacing w:line="240" w:lineRule="auto"/>
        <w:jc w:val="center"/>
      </w:pPr>
      <w:r>
        <w:rPr>
          <w:sz w:val="28"/>
        </w:rPr>
        <w:lastRenderedPageBreak/>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w:t>
            </w:r>
            <w:r>
              <w:rPr>
                <w:b/>
                <w:sz w:val="18"/>
              </w:rPr>
              <w:t>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4</w:t>
            </w:r>
          </w:p>
        </w:tc>
        <w:tc>
          <w:tcPr>
            <w:tcW w:w="3180" w:type="dxa"/>
            <w:tcMar>
              <w:top w:w="0" w:type="dxa"/>
              <w:bottom w:w="0" w:type="dxa"/>
            </w:tcMar>
            <w:vAlign w:val="center"/>
          </w:tcPr>
          <w:p w:rsidR="001937AE" w:rsidRDefault="007C57CE">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rsidR="001937AE" w:rsidRDefault="007C57CE">
            <w:pPr>
              <w:keepNext/>
              <w:keepLines/>
              <w:spacing w:after="0" w:line="240" w:lineRule="auto"/>
            </w:pPr>
            <w:r>
              <w:rPr>
                <w:sz w:val="18"/>
              </w:rPr>
              <w:t>4</w:t>
            </w:r>
          </w:p>
        </w:tc>
        <w:tc>
          <w:tcPr>
            <w:tcW w:w="1860" w:type="dxa"/>
            <w:tcMar>
              <w:top w:w="0" w:type="dxa"/>
              <w:bottom w:w="0" w:type="dxa"/>
            </w:tcMar>
            <w:vAlign w:val="center"/>
          </w:tcPr>
          <w:p w:rsidR="001937AE" w:rsidRDefault="007C57CE">
            <w:pPr>
              <w:keepNext/>
              <w:keepLines/>
              <w:spacing w:after="0" w:line="240" w:lineRule="auto"/>
              <w:jc w:val="right"/>
            </w:pPr>
            <w:r>
              <w:rPr>
                <w:sz w:val="18"/>
              </w:rPr>
              <w:t>35.817,50</w:t>
            </w:r>
          </w:p>
        </w:tc>
        <w:tc>
          <w:tcPr>
            <w:tcW w:w="1860" w:type="dxa"/>
            <w:tcMar>
              <w:top w:w="0" w:type="dxa"/>
              <w:bottom w:w="0" w:type="dxa"/>
            </w:tcMar>
            <w:vAlign w:val="center"/>
          </w:tcPr>
          <w:p w:rsidR="001937AE" w:rsidRDefault="007C57CE">
            <w:pPr>
              <w:keepNext/>
              <w:keepLines/>
              <w:spacing w:after="0" w:line="240" w:lineRule="auto"/>
              <w:jc w:val="right"/>
            </w:pPr>
            <w:r>
              <w:rPr>
                <w:sz w:val="18"/>
              </w:rPr>
              <w:t>65.432,07</w:t>
            </w:r>
          </w:p>
        </w:tc>
        <w:tc>
          <w:tcPr>
            <w:tcW w:w="700" w:type="dxa"/>
            <w:tcMar>
              <w:top w:w="0" w:type="dxa"/>
              <w:bottom w:w="0" w:type="dxa"/>
            </w:tcMar>
            <w:vAlign w:val="center"/>
          </w:tcPr>
          <w:p w:rsidR="001937AE" w:rsidRDefault="007C57CE">
            <w:pPr>
              <w:keepNext/>
              <w:keepLines/>
              <w:spacing w:after="0" w:line="240" w:lineRule="auto"/>
              <w:jc w:val="right"/>
            </w:pPr>
            <w:r>
              <w:rPr>
                <w:sz w:val="18"/>
              </w:rPr>
              <w:t>182,7</w:t>
            </w:r>
          </w:p>
        </w:tc>
      </w:tr>
    </w:tbl>
    <w:p w:rsidR="001937AE" w:rsidRDefault="001937AE">
      <w:pPr>
        <w:spacing w:after="0"/>
      </w:pPr>
    </w:p>
    <w:p w:rsidR="001937AE" w:rsidRDefault="007C57CE">
      <w:r>
        <w:t>Rashodi za nabavu nefinancijske imovine ostvareni su u iznosu od 65.432,07 eura i bilježe rast indeksa (182,7) zahvaljujući nabavi akvarija temeljem ugovora iz 2024. godine koji je u potpunosti realiziran u 2025. godini  i ulaganju u aplikaciju koja posjet</w:t>
      </w:r>
      <w:r>
        <w:t>iteljima omogućuje uvid u klimatske promjene prošlih geoloških razdoblja, a u sklopu EU projekta transPlant. </w:t>
      </w:r>
    </w:p>
    <w:p w:rsidR="001937AE" w:rsidRDefault="001937AE"/>
    <w:p w:rsidR="001937AE" w:rsidRDefault="007C57CE">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Ostvareno u izvještajnom razdoblju tekuće </w:t>
            </w:r>
            <w:r>
              <w:rPr>
                <w:b/>
                <w:sz w:val="18"/>
              </w:rPr>
              <w:t>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9222-9221</w:t>
            </w:r>
          </w:p>
        </w:tc>
        <w:tc>
          <w:tcPr>
            <w:tcW w:w="3180" w:type="dxa"/>
            <w:tcMar>
              <w:top w:w="0" w:type="dxa"/>
              <w:bottom w:w="0" w:type="dxa"/>
            </w:tcMar>
            <w:vAlign w:val="center"/>
          </w:tcPr>
          <w:p w:rsidR="001937AE" w:rsidRDefault="007C57CE">
            <w:pPr>
              <w:keepNext/>
              <w:keepLines/>
              <w:spacing w:after="0" w:line="240" w:lineRule="auto"/>
            </w:pPr>
            <w:r>
              <w:rPr>
                <w:sz w:val="18"/>
              </w:rPr>
              <w:t>Manjak prihoda i primitaka - preneseni (šifre '9221x,9222x MP' - '9221x,9222x VP' + 92223 - 92213)</w:t>
            </w:r>
          </w:p>
        </w:tc>
        <w:tc>
          <w:tcPr>
            <w:tcW w:w="700" w:type="dxa"/>
            <w:tcMar>
              <w:top w:w="0" w:type="dxa"/>
              <w:bottom w:w="0" w:type="dxa"/>
            </w:tcMar>
            <w:vAlign w:val="center"/>
          </w:tcPr>
          <w:p w:rsidR="001937AE" w:rsidRDefault="007C57CE">
            <w:pPr>
              <w:keepNext/>
              <w:keepLines/>
              <w:spacing w:after="0" w:line="240" w:lineRule="auto"/>
            </w:pPr>
            <w:r>
              <w:rPr>
                <w:sz w:val="18"/>
              </w:rPr>
              <w:t>9222-9221</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22.925,42</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9222-9221 – Manjak prihoda i primitaka – preneseni iznosi 22.925,42 eura i razlikuje se od utvrđenog rezultata na dan 31.12.2024.  – višak prihoda i primitaka raspoloživog u sljedećem razdoblju od 26.229,15  eura. Razlog tom odstupanju leži u korekcijama f</w:t>
      </w:r>
      <w:r>
        <w:t>inancijskog rezultata provedenih tijekom 2025. godini u ukupnom iznosu od  49.154,57 eura i to:</w:t>
      </w:r>
    </w:p>
    <w:p w:rsidR="001937AE" w:rsidRDefault="007C57CE">
      <w:r>
        <w:t>-          za refundaciju EU sredstava u sklopu EU projekta transPlant uslijed čega je evidentiran manjak u iznosu od 40.982,28  eura;</w:t>
      </w:r>
    </w:p>
    <w:p w:rsidR="001937AE" w:rsidRDefault="007C57CE">
      <w:r>
        <w:t>-          za umanjenje p</w:t>
      </w:r>
      <w:r>
        <w:t>renesenog viška poslovanja za EU prihod iz 2024.godine u sklopu EU projekta FASIH u iznosu od 3.372,29 eura;</w:t>
      </w:r>
    </w:p>
    <w:p w:rsidR="001937AE" w:rsidRDefault="007C57CE">
      <w:r>
        <w:t>-          za umanjenje prenesenog viška poslovanja za EU prihod iz 2024.godine u sklopu EU projekta transPlant u iznosu od 4.800,00 eura;</w:t>
      </w:r>
    </w:p>
    <w:p w:rsidR="001937AE" w:rsidRDefault="001937AE"/>
    <w:p w:rsidR="001937AE" w:rsidRDefault="007C57CE">
      <w:pPr>
        <w:keepNext/>
        <w:spacing w:line="240" w:lineRule="auto"/>
        <w:jc w:val="center"/>
      </w:pPr>
      <w:r>
        <w:rPr>
          <w:sz w:val="28"/>
        </w:rPr>
        <w:t>Bilješk</w:t>
      </w:r>
      <w:r>
        <w:rPr>
          <w:sz w:val="28"/>
        </w:rPr>
        <w:t>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sz w:val="18"/>
              </w:rPr>
              <w:t xml:space="preserve">Manjak prihoda i primitaka za pokriće u sljedećem razdoblju (šifre Y005 + '9222-9221' - X005 - </w:t>
            </w:r>
            <w:r>
              <w:rPr>
                <w:sz w:val="18"/>
              </w:rPr>
              <w:t>'9221-9222' )</w:t>
            </w:r>
          </w:p>
        </w:tc>
        <w:tc>
          <w:tcPr>
            <w:tcW w:w="700" w:type="dxa"/>
            <w:tcMar>
              <w:top w:w="0" w:type="dxa"/>
              <w:bottom w:w="0" w:type="dxa"/>
            </w:tcMar>
            <w:vAlign w:val="center"/>
          </w:tcPr>
          <w:p w:rsidR="001937AE" w:rsidRDefault="007C57CE">
            <w:pPr>
              <w:keepNext/>
              <w:keepLines/>
              <w:spacing w:after="0" w:line="240" w:lineRule="auto"/>
            </w:pPr>
            <w:r>
              <w:rPr>
                <w:sz w:val="18"/>
              </w:rPr>
              <w:t>Y006</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14.516,80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Y006 - Rezultat poslovanja prema izvoru:</w:t>
      </w:r>
    </w:p>
    <w:tbl>
      <w:tblPr>
        <w:tblStyle w:val="TableGrid"/>
        <w:tblW w:w="5000" w:type="pct"/>
        <w:tblLook w:val="04A0" w:firstRow="1" w:lastRow="0" w:firstColumn="1" w:lastColumn="0" w:noHBand="0" w:noVBand="1"/>
      </w:tblPr>
      <w:tblGrid>
        <w:gridCol w:w="2121"/>
        <w:gridCol w:w="1258"/>
        <w:gridCol w:w="1696"/>
        <w:gridCol w:w="1142"/>
        <w:gridCol w:w="1439"/>
        <w:gridCol w:w="1632"/>
      </w:tblGrid>
      <w:tr w:rsidR="001937AE">
        <w:trPr>
          <w:trHeight w:val="542"/>
        </w:trPr>
        <w:tc>
          <w:tcPr>
            <w:tcW w:w="833" w:type="pct"/>
            <w:vAlign w:val="center"/>
          </w:tcPr>
          <w:p w:rsidR="001937AE" w:rsidRDefault="007C57CE">
            <w:r>
              <w:rPr>
                <w:b/>
              </w:rPr>
              <w:t>Izvori financiranja</w:t>
            </w:r>
          </w:p>
        </w:tc>
        <w:tc>
          <w:tcPr>
            <w:tcW w:w="833" w:type="pct"/>
            <w:vAlign w:val="center"/>
          </w:tcPr>
          <w:p w:rsidR="001937AE" w:rsidRDefault="007C57CE">
            <w:r>
              <w:rPr>
                <w:b/>
              </w:rPr>
              <w:t>Prihodi /primici</w:t>
            </w:r>
          </w:p>
        </w:tc>
        <w:tc>
          <w:tcPr>
            <w:tcW w:w="833" w:type="pct"/>
            <w:vAlign w:val="center"/>
          </w:tcPr>
          <w:p w:rsidR="001937AE" w:rsidRDefault="007C57CE">
            <w:r>
              <w:rPr>
                <w:b/>
              </w:rPr>
              <w:t>Rashodi/Izdaci</w:t>
            </w:r>
          </w:p>
        </w:tc>
        <w:tc>
          <w:tcPr>
            <w:tcW w:w="833" w:type="pct"/>
            <w:vAlign w:val="center"/>
          </w:tcPr>
          <w:p w:rsidR="001937AE" w:rsidRDefault="007C57CE">
            <w:r>
              <w:rPr>
                <w:b/>
              </w:rPr>
              <w:t>Razlika</w:t>
            </w:r>
          </w:p>
        </w:tc>
        <w:tc>
          <w:tcPr>
            <w:tcW w:w="833" w:type="pct"/>
            <w:vAlign w:val="center"/>
          </w:tcPr>
          <w:p w:rsidR="001937AE" w:rsidRDefault="007C57CE">
            <w:r>
              <w:rPr>
                <w:b/>
              </w:rPr>
              <w:t>Korekcija rezultata</w:t>
            </w:r>
          </w:p>
        </w:tc>
        <w:tc>
          <w:tcPr>
            <w:tcW w:w="833" w:type="pct"/>
            <w:vAlign w:val="center"/>
          </w:tcPr>
          <w:p w:rsidR="001937AE" w:rsidRDefault="007C57CE">
            <w:r>
              <w:rPr>
                <w:b/>
              </w:rPr>
              <w:t>Višak/Manjak</w:t>
            </w:r>
          </w:p>
        </w:tc>
      </w:tr>
      <w:tr w:rsidR="001937AE">
        <w:trPr>
          <w:trHeight w:val="878"/>
        </w:trPr>
        <w:tc>
          <w:tcPr>
            <w:tcW w:w="833" w:type="pct"/>
            <w:vAlign w:val="center"/>
          </w:tcPr>
          <w:p w:rsidR="001937AE" w:rsidRDefault="007C57CE">
            <w:r>
              <w:lastRenderedPageBreak/>
              <w:t>Prihodi iz nadležnog proračuna</w:t>
            </w:r>
          </w:p>
        </w:tc>
        <w:tc>
          <w:tcPr>
            <w:tcW w:w="833" w:type="pct"/>
            <w:vAlign w:val="center"/>
          </w:tcPr>
          <w:p w:rsidR="001937AE" w:rsidRDefault="007C57CE">
            <w:r>
              <w:t>840.425,59</w:t>
            </w:r>
          </w:p>
        </w:tc>
        <w:tc>
          <w:tcPr>
            <w:tcW w:w="833" w:type="pct"/>
            <w:vAlign w:val="center"/>
          </w:tcPr>
          <w:p w:rsidR="001937AE" w:rsidRDefault="007C57CE">
            <w:r>
              <w:t>896.706,73</w:t>
            </w:r>
          </w:p>
        </w:tc>
        <w:tc>
          <w:tcPr>
            <w:tcW w:w="833" w:type="pct"/>
            <w:vAlign w:val="center"/>
          </w:tcPr>
          <w:p w:rsidR="001937AE" w:rsidRDefault="007C57CE">
            <w:r>
              <w:t>-56.281,14</w:t>
            </w:r>
          </w:p>
        </w:tc>
        <w:tc>
          <w:tcPr>
            <w:tcW w:w="833" w:type="pct"/>
            <w:vAlign w:val="center"/>
          </w:tcPr>
          <w:p w:rsidR="001937AE" w:rsidRDefault="007C57CE">
            <w:r>
              <w:t>0,00</w:t>
            </w:r>
          </w:p>
        </w:tc>
        <w:tc>
          <w:tcPr>
            <w:tcW w:w="833" w:type="pct"/>
            <w:vAlign w:val="center"/>
          </w:tcPr>
          <w:p w:rsidR="001937AE" w:rsidRDefault="007C57CE">
            <w:r>
              <w:t>-56.281,14</w:t>
            </w:r>
          </w:p>
        </w:tc>
      </w:tr>
      <w:tr w:rsidR="001937AE">
        <w:trPr>
          <w:trHeight w:val="878"/>
        </w:trPr>
        <w:tc>
          <w:tcPr>
            <w:tcW w:w="833" w:type="pct"/>
            <w:vAlign w:val="center"/>
          </w:tcPr>
          <w:p w:rsidR="001937AE" w:rsidRDefault="007C57CE">
            <w:r>
              <w:rPr>
                <w:b/>
              </w:rPr>
              <w:t>Ukupno proračunska sredstva</w:t>
            </w:r>
          </w:p>
        </w:tc>
        <w:tc>
          <w:tcPr>
            <w:tcW w:w="833" w:type="pct"/>
            <w:vAlign w:val="center"/>
          </w:tcPr>
          <w:p w:rsidR="001937AE" w:rsidRDefault="007C57CE">
            <w:r>
              <w:rPr>
                <w:b/>
              </w:rPr>
              <w:t>840.425,59</w:t>
            </w:r>
          </w:p>
        </w:tc>
        <w:tc>
          <w:tcPr>
            <w:tcW w:w="833" w:type="pct"/>
            <w:vAlign w:val="center"/>
          </w:tcPr>
          <w:p w:rsidR="001937AE" w:rsidRDefault="007C57CE">
            <w:r>
              <w:rPr>
                <w:b/>
              </w:rPr>
              <w:t>896.706,73</w:t>
            </w:r>
          </w:p>
        </w:tc>
        <w:tc>
          <w:tcPr>
            <w:tcW w:w="833" w:type="pct"/>
            <w:vAlign w:val="center"/>
          </w:tcPr>
          <w:p w:rsidR="001937AE" w:rsidRDefault="007C57CE">
            <w:r>
              <w:t> </w:t>
            </w:r>
          </w:p>
        </w:tc>
        <w:tc>
          <w:tcPr>
            <w:tcW w:w="833" w:type="pct"/>
            <w:vAlign w:val="center"/>
          </w:tcPr>
          <w:p w:rsidR="001937AE" w:rsidRDefault="007C57CE">
            <w:r>
              <w:rPr>
                <w:b/>
              </w:rPr>
              <w:t>Metodološki manjak</w:t>
            </w:r>
          </w:p>
        </w:tc>
        <w:tc>
          <w:tcPr>
            <w:tcW w:w="833" w:type="pct"/>
            <w:vAlign w:val="center"/>
          </w:tcPr>
          <w:p w:rsidR="001937AE" w:rsidRDefault="007C57CE">
            <w:r>
              <w:rPr>
                <w:b/>
              </w:rPr>
              <w:t>-56-281,14</w:t>
            </w:r>
          </w:p>
        </w:tc>
      </w:tr>
      <w:tr w:rsidR="001937AE">
        <w:trPr>
          <w:trHeight w:val="542"/>
        </w:trPr>
        <w:tc>
          <w:tcPr>
            <w:tcW w:w="833" w:type="pct"/>
            <w:vAlign w:val="center"/>
          </w:tcPr>
          <w:p w:rsidR="001937AE" w:rsidRDefault="007C57CE">
            <w:r>
              <w:t> </w:t>
            </w:r>
          </w:p>
        </w:tc>
        <w:tc>
          <w:tcPr>
            <w:tcW w:w="833" w:type="pct"/>
            <w:vAlign w:val="center"/>
          </w:tcPr>
          <w:p w:rsidR="001937AE" w:rsidRDefault="007C57CE">
            <w:r>
              <w:rPr>
                <w:b/>
              </w:rPr>
              <w:t> </w:t>
            </w:r>
          </w:p>
        </w:tc>
        <w:tc>
          <w:tcPr>
            <w:tcW w:w="833" w:type="pct"/>
            <w:vAlign w:val="center"/>
          </w:tcPr>
          <w:p w:rsidR="001937AE" w:rsidRDefault="007C57CE">
            <w:r>
              <w:rPr>
                <w:b/>
              </w:rPr>
              <w:t> </w:t>
            </w:r>
          </w:p>
        </w:tc>
        <w:tc>
          <w:tcPr>
            <w:tcW w:w="833" w:type="pct"/>
            <w:vAlign w:val="center"/>
          </w:tcPr>
          <w:p w:rsidR="001937AE" w:rsidRDefault="007C57CE">
            <w:r>
              <w:t> </w:t>
            </w:r>
          </w:p>
        </w:tc>
        <w:tc>
          <w:tcPr>
            <w:tcW w:w="833" w:type="pct"/>
            <w:vAlign w:val="center"/>
          </w:tcPr>
          <w:p w:rsidR="001937AE" w:rsidRDefault="007C57CE">
            <w:r>
              <w:rPr>
                <w:b/>
              </w:rPr>
              <w:t> </w:t>
            </w:r>
          </w:p>
        </w:tc>
        <w:tc>
          <w:tcPr>
            <w:tcW w:w="833" w:type="pct"/>
            <w:vAlign w:val="center"/>
          </w:tcPr>
          <w:p w:rsidR="001937AE" w:rsidRDefault="007C57CE">
            <w:r>
              <w:rPr>
                <w:b/>
              </w:rPr>
              <w:t> </w:t>
            </w:r>
          </w:p>
        </w:tc>
      </w:tr>
      <w:tr w:rsidR="001937AE">
        <w:trPr>
          <w:trHeight w:val="542"/>
        </w:trPr>
        <w:tc>
          <w:tcPr>
            <w:tcW w:w="833" w:type="pct"/>
            <w:vAlign w:val="center"/>
          </w:tcPr>
          <w:p w:rsidR="001937AE" w:rsidRDefault="007C57CE">
            <w:r>
              <w:t>Pomoći</w:t>
            </w:r>
          </w:p>
        </w:tc>
        <w:tc>
          <w:tcPr>
            <w:tcW w:w="833" w:type="pct"/>
            <w:vAlign w:val="center"/>
          </w:tcPr>
          <w:p w:rsidR="001937AE" w:rsidRDefault="007C57CE">
            <w:r>
              <w:t>41.697,02</w:t>
            </w:r>
          </w:p>
        </w:tc>
        <w:tc>
          <w:tcPr>
            <w:tcW w:w="833" w:type="pct"/>
            <w:vAlign w:val="center"/>
          </w:tcPr>
          <w:p w:rsidR="001937AE" w:rsidRDefault="007C57CE">
            <w:r>
              <w:t>35.933,87</w:t>
            </w:r>
          </w:p>
        </w:tc>
        <w:tc>
          <w:tcPr>
            <w:tcW w:w="833" w:type="pct"/>
            <w:vAlign w:val="center"/>
          </w:tcPr>
          <w:p w:rsidR="001937AE" w:rsidRDefault="007C57CE">
            <w:r>
              <w:t>5.763,15</w:t>
            </w:r>
          </w:p>
        </w:tc>
        <w:tc>
          <w:tcPr>
            <w:tcW w:w="833" w:type="pct"/>
            <w:vAlign w:val="center"/>
          </w:tcPr>
          <w:p w:rsidR="001937AE" w:rsidRDefault="007C57CE">
            <w:r>
              <w:t>0,00</w:t>
            </w:r>
          </w:p>
        </w:tc>
        <w:tc>
          <w:tcPr>
            <w:tcW w:w="833" w:type="pct"/>
            <w:vAlign w:val="center"/>
          </w:tcPr>
          <w:p w:rsidR="001937AE" w:rsidRDefault="007C57CE">
            <w:r>
              <w:t>5.763,15</w:t>
            </w:r>
          </w:p>
        </w:tc>
      </w:tr>
      <w:tr w:rsidR="001937AE">
        <w:trPr>
          <w:trHeight w:val="878"/>
        </w:trPr>
        <w:tc>
          <w:tcPr>
            <w:tcW w:w="833" w:type="pct"/>
            <w:vAlign w:val="center"/>
          </w:tcPr>
          <w:p w:rsidR="001937AE" w:rsidRDefault="007C57CE">
            <w:r>
              <w:t>Pomoći za provođenje EU projekata</w:t>
            </w:r>
          </w:p>
        </w:tc>
        <w:tc>
          <w:tcPr>
            <w:tcW w:w="833" w:type="pct"/>
            <w:vAlign w:val="center"/>
          </w:tcPr>
          <w:p w:rsidR="001937AE" w:rsidRDefault="007C57CE">
            <w:r>
              <w:t>327.521,14</w:t>
            </w:r>
          </w:p>
        </w:tc>
        <w:tc>
          <w:tcPr>
            <w:tcW w:w="833" w:type="pct"/>
            <w:vAlign w:val="center"/>
          </w:tcPr>
          <w:p w:rsidR="001937AE" w:rsidRDefault="007C57CE">
            <w:r>
              <w:t>286.538,86</w:t>
            </w:r>
          </w:p>
        </w:tc>
        <w:tc>
          <w:tcPr>
            <w:tcW w:w="833" w:type="pct"/>
            <w:vAlign w:val="center"/>
          </w:tcPr>
          <w:p w:rsidR="001937AE" w:rsidRDefault="007C57CE">
            <w:r>
              <w:t>40.982,28</w:t>
            </w:r>
          </w:p>
        </w:tc>
        <w:tc>
          <w:tcPr>
            <w:tcW w:w="833" w:type="pct"/>
            <w:vAlign w:val="center"/>
          </w:tcPr>
          <w:p w:rsidR="001937AE" w:rsidRDefault="007C57CE">
            <w:r>
              <w:t>-40.982,28</w:t>
            </w:r>
          </w:p>
        </w:tc>
        <w:tc>
          <w:tcPr>
            <w:tcW w:w="833" w:type="pct"/>
            <w:vAlign w:val="center"/>
          </w:tcPr>
          <w:p w:rsidR="001937AE" w:rsidRDefault="007C57CE">
            <w:r>
              <w:t>0,00</w:t>
            </w:r>
          </w:p>
        </w:tc>
      </w:tr>
      <w:tr w:rsidR="001937AE">
        <w:trPr>
          <w:trHeight w:val="1886"/>
        </w:trPr>
        <w:tc>
          <w:tcPr>
            <w:tcW w:w="833" w:type="pct"/>
            <w:vAlign w:val="center"/>
          </w:tcPr>
          <w:p w:rsidR="001937AE" w:rsidRDefault="007C57CE">
            <w:r>
              <w:t>Pomoći za provođenje EU projekata preneseno iz 2024.g./preknjiženje na 271/631</w:t>
            </w:r>
          </w:p>
        </w:tc>
        <w:tc>
          <w:tcPr>
            <w:tcW w:w="833" w:type="pct"/>
            <w:vAlign w:val="center"/>
          </w:tcPr>
          <w:p w:rsidR="001937AE" w:rsidRDefault="007C57CE">
            <w:r>
              <w:t>8.172,29</w:t>
            </w:r>
          </w:p>
        </w:tc>
        <w:tc>
          <w:tcPr>
            <w:tcW w:w="833" w:type="pct"/>
            <w:vAlign w:val="center"/>
          </w:tcPr>
          <w:p w:rsidR="001937AE" w:rsidRDefault="007C57CE">
            <w:r>
              <w:t>0,00</w:t>
            </w:r>
          </w:p>
        </w:tc>
        <w:tc>
          <w:tcPr>
            <w:tcW w:w="833" w:type="pct"/>
            <w:vAlign w:val="center"/>
          </w:tcPr>
          <w:p w:rsidR="001937AE" w:rsidRDefault="007C57CE">
            <w:r>
              <w:t>8.172,29</w:t>
            </w:r>
          </w:p>
        </w:tc>
        <w:tc>
          <w:tcPr>
            <w:tcW w:w="833" w:type="pct"/>
            <w:vAlign w:val="center"/>
          </w:tcPr>
          <w:p w:rsidR="001937AE" w:rsidRDefault="007C57CE">
            <w:r>
              <w:t>-8.172,29</w:t>
            </w:r>
          </w:p>
        </w:tc>
        <w:tc>
          <w:tcPr>
            <w:tcW w:w="833" w:type="pct"/>
            <w:vAlign w:val="center"/>
          </w:tcPr>
          <w:p w:rsidR="001937AE" w:rsidRDefault="007C57CE">
            <w:r>
              <w:t>0,00</w:t>
            </w:r>
          </w:p>
        </w:tc>
      </w:tr>
      <w:tr w:rsidR="001937AE">
        <w:trPr>
          <w:trHeight w:val="878"/>
        </w:trPr>
        <w:tc>
          <w:tcPr>
            <w:tcW w:w="833" w:type="pct"/>
            <w:vAlign w:val="center"/>
          </w:tcPr>
          <w:p w:rsidR="001937AE" w:rsidRDefault="007C57CE">
            <w:r>
              <w:t>Prihodi za posebne namjene</w:t>
            </w:r>
          </w:p>
        </w:tc>
        <w:tc>
          <w:tcPr>
            <w:tcW w:w="833" w:type="pct"/>
            <w:vAlign w:val="center"/>
          </w:tcPr>
          <w:p w:rsidR="001937AE" w:rsidRDefault="007C57CE">
            <w:r>
              <w:t>68.766,32</w:t>
            </w:r>
          </w:p>
        </w:tc>
        <w:tc>
          <w:tcPr>
            <w:tcW w:w="833" w:type="pct"/>
            <w:vAlign w:val="center"/>
          </w:tcPr>
          <w:p w:rsidR="001937AE" w:rsidRDefault="007C57CE">
            <w:r>
              <w:t>41.261,59</w:t>
            </w:r>
          </w:p>
        </w:tc>
        <w:tc>
          <w:tcPr>
            <w:tcW w:w="833" w:type="pct"/>
            <w:vAlign w:val="center"/>
          </w:tcPr>
          <w:p w:rsidR="001937AE" w:rsidRDefault="007C57CE">
            <w:r>
              <w:t>27.504,73</w:t>
            </w:r>
          </w:p>
        </w:tc>
        <w:tc>
          <w:tcPr>
            <w:tcW w:w="833" w:type="pct"/>
            <w:vAlign w:val="center"/>
          </w:tcPr>
          <w:p w:rsidR="001937AE" w:rsidRDefault="007C57CE">
            <w:r>
              <w:t>0,00</w:t>
            </w:r>
          </w:p>
        </w:tc>
        <w:tc>
          <w:tcPr>
            <w:tcW w:w="833" w:type="pct"/>
            <w:vAlign w:val="center"/>
          </w:tcPr>
          <w:p w:rsidR="001937AE" w:rsidRDefault="007C57CE">
            <w:r>
              <w:t>27.504,73</w:t>
            </w:r>
          </w:p>
        </w:tc>
      </w:tr>
      <w:tr w:rsidR="001937AE">
        <w:trPr>
          <w:trHeight w:val="1214"/>
        </w:trPr>
        <w:tc>
          <w:tcPr>
            <w:tcW w:w="833" w:type="pct"/>
            <w:vAlign w:val="center"/>
          </w:tcPr>
          <w:p w:rsidR="001937AE" w:rsidRDefault="007C57CE">
            <w:r>
              <w:t>Prihodi za posebne namjene - preneseno iz 2024.g.</w:t>
            </w:r>
          </w:p>
        </w:tc>
        <w:tc>
          <w:tcPr>
            <w:tcW w:w="833" w:type="pct"/>
            <w:vAlign w:val="center"/>
          </w:tcPr>
          <w:p w:rsidR="001937AE" w:rsidRDefault="007C57CE">
            <w:r>
              <w:t>18.056,86</w:t>
            </w:r>
          </w:p>
        </w:tc>
        <w:tc>
          <w:tcPr>
            <w:tcW w:w="833" w:type="pct"/>
            <w:vAlign w:val="center"/>
          </w:tcPr>
          <w:p w:rsidR="001937AE" w:rsidRDefault="007C57CE">
            <w:r>
              <w:t>11.056,86</w:t>
            </w:r>
          </w:p>
        </w:tc>
        <w:tc>
          <w:tcPr>
            <w:tcW w:w="833" w:type="pct"/>
            <w:vAlign w:val="center"/>
          </w:tcPr>
          <w:p w:rsidR="001937AE" w:rsidRDefault="007C57CE">
            <w:r>
              <w:t>7.000,00</w:t>
            </w:r>
          </w:p>
        </w:tc>
        <w:tc>
          <w:tcPr>
            <w:tcW w:w="833" w:type="pct"/>
            <w:vAlign w:val="center"/>
          </w:tcPr>
          <w:p w:rsidR="001937AE" w:rsidRDefault="007C57CE">
            <w:r>
              <w:t>0,00</w:t>
            </w:r>
          </w:p>
        </w:tc>
        <w:tc>
          <w:tcPr>
            <w:tcW w:w="833" w:type="pct"/>
            <w:vAlign w:val="center"/>
          </w:tcPr>
          <w:p w:rsidR="001937AE" w:rsidRDefault="007C57CE">
            <w:r>
              <w:t>7.000,00</w:t>
            </w:r>
          </w:p>
        </w:tc>
      </w:tr>
      <w:tr w:rsidR="001937AE">
        <w:trPr>
          <w:trHeight w:val="542"/>
        </w:trPr>
        <w:tc>
          <w:tcPr>
            <w:tcW w:w="833" w:type="pct"/>
            <w:vAlign w:val="center"/>
          </w:tcPr>
          <w:p w:rsidR="001937AE" w:rsidRDefault="007C57CE">
            <w:r>
              <w:t>Vlastiti prihodi</w:t>
            </w:r>
          </w:p>
        </w:tc>
        <w:tc>
          <w:tcPr>
            <w:tcW w:w="833" w:type="pct"/>
            <w:vAlign w:val="center"/>
          </w:tcPr>
          <w:p w:rsidR="001937AE" w:rsidRDefault="007C57CE">
            <w:r>
              <w:t>3.314,83</w:t>
            </w:r>
          </w:p>
        </w:tc>
        <w:tc>
          <w:tcPr>
            <w:tcW w:w="833" w:type="pct"/>
            <w:vAlign w:val="center"/>
          </w:tcPr>
          <w:p w:rsidR="001937AE" w:rsidRDefault="007C57CE">
            <w:r>
              <w:t>1.818,37</w:t>
            </w:r>
          </w:p>
        </w:tc>
        <w:tc>
          <w:tcPr>
            <w:tcW w:w="833" w:type="pct"/>
            <w:vAlign w:val="center"/>
          </w:tcPr>
          <w:p w:rsidR="001937AE" w:rsidRDefault="007C57CE">
            <w:r>
              <w:t>1.496,46</w:t>
            </w:r>
          </w:p>
        </w:tc>
        <w:tc>
          <w:tcPr>
            <w:tcW w:w="833" w:type="pct"/>
            <w:vAlign w:val="center"/>
          </w:tcPr>
          <w:p w:rsidR="001937AE" w:rsidRDefault="007C57CE">
            <w:r>
              <w:t>0,00</w:t>
            </w:r>
          </w:p>
        </w:tc>
        <w:tc>
          <w:tcPr>
            <w:tcW w:w="833" w:type="pct"/>
            <w:vAlign w:val="center"/>
          </w:tcPr>
          <w:p w:rsidR="001937AE" w:rsidRDefault="007C57CE">
            <w:r>
              <w:t>1.496,46</w:t>
            </w:r>
          </w:p>
        </w:tc>
      </w:tr>
      <w:tr w:rsidR="001937AE">
        <w:trPr>
          <w:trHeight w:val="878"/>
        </w:trPr>
        <w:tc>
          <w:tcPr>
            <w:tcW w:w="833" w:type="pct"/>
            <w:vAlign w:val="center"/>
          </w:tcPr>
          <w:p w:rsidR="001937AE" w:rsidRDefault="007C57CE">
            <w:r>
              <w:rPr>
                <w:b/>
              </w:rPr>
              <w:t>Ukupno vlastita sredstva</w:t>
            </w:r>
          </w:p>
        </w:tc>
        <w:tc>
          <w:tcPr>
            <w:tcW w:w="833" w:type="pct"/>
            <w:vAlign w:val="center"/>
          </w:tcPr>
          <w:p w:rsidR="001937AE" w:rsidRDefault="007C57CE">
            <w:r>
              <w:rPr>
                <w:b/>
              </w:rPr>
              <w:t>441.299,31</w:t>
            </w:r>
          </w:p>
        </w:tc>
        <w:tc>
          <w:tcPr>
            <w:tcW w:w="833" w:type="pct"/>
            <w:vAlign w:val="center"/>
          </w:tcPr>
          <w:p w:rsidR="001937AE" w:rsidRDefault="007C57CE">
            <w:r>
              <w:rPr>
                <w:b/>
              </w:rPr>
              <w:t>376.609,55</w:t>
            </w:r>
          </w:p>
        </w:tc>
        <w:tc>
          <w:tcPr>
            <w:tcW w:w="833" w:type="pct"/>
            <w:vAlign w:val="center"/>
          </w:tcPr>
          <w:p w:rsidR="001937AE" w:rsidRDefault="007C57CE">
            <w:r>
              <w:rPr>
                <w:b/>
              </w:rPr>
              <w:t>82.746,62</w:t>
            </w:r>
          </w:p>
        </w:tc>
        <w:tc>
          <w:tcPr>
            <w:tcW w:w="833" w:type="pct"/>
            <w:vAlign w:val="center"/>
          </w:tcPr>
          <w:p w:rsidR="001937AE" w:rsidRDefault="007C57CE">
            <w:r>
              <w:rPr>
                <w:b/>
              </w:rPr>
              <w:t>-40.982,28</w:t>
            </w:r>
          </w:p>
        </w:tc>
        <w:tc>
          <w:tcPr>
            <w:tcW w:w="833" w:type="pct"/>
            <w:vAlign w:val="center"/>
          </w:tcPr>
          <w:p w:rsidR="001937AE" w:rsidRDefault="007C57CE">
            <w:r>
              <w:rPr>
                <w:b/>
              </w:rPr>
              <w:t>41.764,34</w:t>
            </w:r>
          </w:p>
        </w:tc>
      </w:tr>
      <w:tr w:rsidR="001937AE">
        <w:tc>
          <w:tcPr>
            <w:tcW w:w="833" w:type="pct"/>
            <w:vAlign w:val="center"/>
          </w:tcPr>
          <w:p w:rsidR="001937AE" w:rsidRDefault="007C57CE">
            <w:r>
              <w:rPr>
                <w:b/>
              </w:rPr>
              <w:t>REZULTAT - šifra Y006 - Manjak prihoda i primitaka raspoloživ u sljedećem razdoblju</w:t>
            </w:r>
          </w:p>
        </w:tc>
        <w:tc>
          <w:tcPr>
            <w:tcW w:w="833" w:type="pct"/>
            <w:vAlign w:val="center"/>
          </w:tcPr>
          <w:p w:rsidR="001937AE" w:rsidRDefault="007C57CE">
            <w:r>
              <w:rPr>
                <w:b/>
              </w:rPr>
              <w:t> </w:t>
            </w:r>
          </w:p>
        </w:tc>
        <w:tc>
          <w:tcPr>
            <w:tcW w:w="833" w:type="pct"/>
            <w:vAlign w:val="center"/>
          </w:tcPr>
          <w:p w:rsidR="001937AE" w:rsidRDefault="007C57CE">
            <w:r>
              <w:rPr>
                <w:b/>
              </w:rPr>
              <w:t> </w:t>
            </w:r>
          </w:p>
        </w:tc>
        <w:tc>
          <w:tcPr>
            <w:tcW w:w="833" w:type="pct"/>
            <w:vAlign w:val="center"/>
          </w:tcPr>
          <w:p w:rsidR="001937AE" w:rsidRDefault="007C57CE">
            <w:r>
              <w:rPr>
                <w:b/>
              </w:rPr>
              <w:t> </w:t>
            </w:r>
          </w:p>
        </w:tc>
        <w:tc>
          <w:tcPr>
            <w:tcW w:w="833" w:type="pct"/>
            <w:vAlign w:val="center"/>
          </w:tcPr>
          <w:p w:rsidR="001937AE" w:rsidRDefault="007C57CE">
            <w:r>
              <w:rPr>
                <w:b/>
              </w:rPr>
              <w:t> </w:t>
            </w:r>
          </w:p>
        </w:tc>
        <w:tc>
          <w:tcPr>
            <w:tcW w:w="833" w:type="pct"/>
            <w:vAlign w:val="center"/>
          </w:tcPr>
          <w:p w:rsidR="001937AE" w:rsidRDefault="007C57CE">
            <w:r>
              <w:rPr>
                <w:b/>
              </w:rPr>
              <w:t>-14.516,80</w:t>
            </w:r>
          </w:p>
        </w:tc>
      </w:tr>
    </w:tbl>
    <w:p w:rsidR="001937AE" w:rsidRDefault="007C57CE">
      <w:r>
        <w:t> </w:t>
      </w:r>
    </w:p>
    <w:p w:rsidR="001937AE" w:rsidRDefault="001937AE"/>
    <w:p w:rsidR="001937AE" w:rsidRDefault="007C57CE">
      <w:pPr>
        <w:keepNext/>
        <w:spacing w:line="240" w:lineRule="auto"/>
        <w:jc w:val="center"/>
      </w:pPr>
      <w:r>
        <w:rPr>
          <w:sz w:val="28"/>
        </w:rPr>
        <w:lastRenderedPageBreak/>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11</w:t>
            </w:r>
          </w:p>
        </w:tc>
        <w:tc>
          <w:tcPr>
            <w:tcW w:w="3180" w:type="dxa"/>
            <w:tcMar>
              <w:top w:w="0" w:type="dxa"/>
              <w:bottom w:w="0" w:type="dxa"/>
            </w:tcMar>
            <w:vAlign w:val="center"/>
          </w:tcPr>
          <w:p w:rsidR="001937AE" w:rsidRDefault="007C57CE">
            <w:pPr>
              <w:keepNext/>
              <w:keepLines/>
              <w:spacing w:after="0" w:line="240" w:lineRule="auto"/>
            </w:pPr>
            <w:r>
              <w:rPr>
                <w:sz w:val="18"/>
              </w:rPr>
              <w:t xml:space="preserve">Stanje novčanih sredstava na kraju izvještajnog razdoblja (šifre </w:t>
            </w:r>
            <w:r>
              <w:rPr>
                <w:sz w:val="18"/>
              </w:rPr>
              <w:t>11P + '11-dugov.' - '11-potraž.')</w:t>
            </w:r>
          </w:p>
        </w:tc>
        <w:tc>
          <w:tcPr>
            <w:tcW w:w="700" w:type="dxa"/>
            <w:tcMar>
              <w:top w:w="0" w:type="dxa"/>
              <w:bottom w:w="0" w:type="dxa"/>
            </w:tcMar>
            <w:vAlign w:val="center"/>
          </w:tcPr>
          <w:p w:rsidR="001937AE" w:rsidRDefault="007C57CE">
            <w:pPr>
              <w:keepNext/>
              <w:keepLines/>
              <w:spacing w:after="0" w:line="240" w:lineRule="auto"/>
            </w:pPr>
            <w:r>
              <w:rPr>
                <w:sz w:val="18"/>
              </w:rPr>
              <w:t>11K</w:t>
            </w:r>
          </w:p>
        </w:tc>
        <w:tc>
          <w:tcPr>
            <w:tcW w:w="1860" w:type="dxa"/>
            <w:tcMar>
              <w:top w:w="0" w:type="dxa"/>
              <w:bottom w:w="0" w:type="dxa"/>
            </w:tcMar>
            <w:vAlign w:val="center"/>
          </w:tcPr>
          <w:p w:rsidR="001937AE" w:rsidRDefault="007C57CE">
            <w:pPr>
              <w:keepNext/>
              <w:keepLines/>
              <w:spacing w:after="0" w:line="240" w:lineRule="auto"/>
              <w:jc w:val="right"/>
            </w:pPr>
            <w:r>
              <w:rPr>
                <w:sz w:val="18"/>
              </w:rPr>
              <w:t>35.561,87</w:t>
            </w:r>
          </w:p>
        </w:tc>
        <w:tc>
          <w:tcPr>
            <w:tcW w:w="1860" w:type="dxa"/>
            <w:tcMar>
              <w:top w:w="0" w:type="dxa"/>
              <w:bottom w:w="0" w:type="dxa"/>
            </w:tcMar>
            <w:vAlign w:val="center"/>
          </w:tcPr>
          <w:p w:rsidR="001937AE" w:rsidRDefault="007C57CE">
            <w:pPr>
              <w:keepNext/>
              <w:keepLines/>
              <w:spacing w:after="0" w:line="240" w:lineRule="auto"/>
              <w:jc w:val="right"/>
            </w:pPr>
            <w:r>
              <w:rPr>
                <w:sz w:val="18"/>
              </w:rPr>
              <w:t>400,00</w:t>
            </w:r>
          </w:p>
        </w:tc>
        <w:tc>
          <w:tcPr>
            <w:tcW w:w="700" w:type="dxa"/>
            <w:tcMar>
              <w:top w:w="0" w:type="dxa"/>
              <w:bottom w:w="0" w:type="dxa"/>
            </w:tcMar>
            <w:vAlign w:val="center"/>
          </w:tcPr>
          <w:p w:rsidR="001937AE" w:rsidRDefault="007C57CE">
            <w:pPr>
              <w:keepNext/>
              <w:keepLines/>
              <w:spacing w:after="0" w:line="240" w:lineRule="auto"/>
              <w:jc w:val="right"/>
            </w:pPr>
            <w:r>
              <w:rPr>
                <w:sz w:val="18"/>
              </w:rPr>
              <w:t>1,1</w:t>
            </w:r>
          </w:p>
        </w:tc>
      </w:tr>
    </w:tbl>
    <w:p w:rsidR="001937AE" w:rsidRDefault="001937AE">
      <w:pPr>
        <w:spacing w:after="0"/>
      </w:pPr>
    </w:p>
    <w:p w:rsidR="001937AE" w:rsidRDefault="007C57CE">
      <w:r>
        <w:t>Stanje novčanih sredstava na kraju izvještajnog razdoblja iznosi 400 eura i bilježi nizak indeksa od 1,1 zbog prijelaza na poslovanje preko jedinstvenog računa Proračuna.</w:t>
      </w:r>
    </w:p>
    <w:p w:rsidR="001937AE" w:rsidRDefault="001937AE"/>
    <w:p w:rsidR="001937AE" w:rsidRDefault="007C57CE">
      <w:pPr>
        <w:keepNext/>
        <w:spacing w:line="240" w:lineRule="auto"/>
        <w:jc w:val="center"/>
      </w:pPr>
      <w:r>
        <w:rPr>
          <w:b/>
          <w:sz w:val="28"/>
        </w:rPr>
        <w:t>Bilanca</w:t>
      </w:r>
    </w:p>
    <w:p w:rsidR="001937AE" w:rsidRDefault="007C57CE">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0</w:t>
            </w:r>
          </w:p>
        </w:tc>
        <w:tc>
          <w:tcPr>
            <w:tcW w:w="3180" w:type="dxa"/>
            <w:tcMar>
              <w:top w:w="0" w:type="dxa"/>
              <w:bottom w:w="0" w:type="dxa"/>
            </w:tcMar>
            <w:vAlign w:val="center"/>
          </w:tcPr>
          <w:p w:rsidR="001937AE" w:rsidRDefault="007C57CE">
            <w:pPr>
              <w:keepNext/>
              <w:keepLines/>
              <w:spacing w:after="0" w:line="240" w:lineRule="auto"/>
            </w:pPr>
            <w:r>
              <w:rPr>
                <w:sz w:val="18"/>
              </w:rPr>
              <w:t>Nefinancijska imovina (šifre 01+02+03+04+05+06)</w:t>
            </w:r>
          </w:p>
        </w:tc>
        <w:tc>
          <w:tcPr>
            <w:tcW w:w="700" w:type="dxa"/>
            <w:tcMar>
              <w:top w:w="0" w:type="dxa"/>
              <w:bottom w:w="0" w:type="dxa"/>
            </w:tcMar>
            <w:vAlign w:val="center"/>
          </w:tcPr>
          <w:p w:rsidR="001937AE" w:rsidRDefault="007C57CE">
            <w:pPr>
              <w:keepNext/>
              <w:keepLines/>
              <w:spacing w:after="0" w:line="240" w:lineRule="auto"/>
            </w:pPr>
            <w:r>
              <w:rPr>
                <w:sz w:val="18"/>
              </w:rPr>
              <w:t>B002</w:t>
            </w:r>
          </w:p>
        </w:tc>
        <w:tc>
          <w:tcPr>
            <w:tcW w:w="1860" w:type="dxa"/>
            <w:tcMar>
              <w:top w:w="0" w:type="dxa"/>
              <w:bottom w:w="0" w:type="dxa"/>
            </w:tcMar>
            <w:vAlign w:val="center"/>
          </w:tcPr>
          <w:p w:rsidR="001937AE" w:rsidRDefault="007C57CE">
            <w:pPr>
              <w:keepNext/>
              <w:keepLines/>
              <w:spacing w:after="0" w:line="240" w:lineRule="auto"/>
              <w:jc w:val="right"/>
            </w:pPr>
            <w:r>
              <w:rPr>
                <w:sz w:val="18"/>
              </w:rPr>
              <w:t>1.427.408,35</w:t>
            </w:r>
          </w:p>
        </w:tc>
        <w:tc>
          <w:tcPr>
            <w:tcW w:w="1860" w:type="dxa"/>
            <w:tcMar>
              <w:top w:w="0" w:type="dxa"/>
              <w:bottom w:w="0" w:type="dxa"/>
            </w:tcMar>
            <w:vAlign w:val="center"/>
          </w:tcPr>
          <w:p w:rsidR="001937AE" w:rsidRDefault="007C57CE">
            <w:pPr>
              <w:keepNext/>
              <w:keepLines/>
              <w:spacing w:after="0" w:line="240" w:lineRule="auto"/>
              <w:jc w:val="right"/>
            </w:pPr>
            <w:r>
              <w:rPr>
                <w:sz w:val="18"/>
              </w:rPr>
              <w:t>1.335.137,40</w:t>
            </w:r>
          </w:p>
        </w:tc>
        <w:tc>
          <w:tcPr>
            <w:tcW w:w="700" w:type="dxa"/>
            <w:tcMar>
              <w:top w:w="0" w:type="dxa"/>
              <w:bottom w:w="0" w:type="dxa"/>
            </w:tcMar>
            <w:vAlign w:val="center"/>
          </w:tcPr>
          <w:p w:rsidR="001937AE" w:rsidRDefault="007C57CE">
            <w:pPr>
              <w:keepNext/>
              <w:keepLines/>
              <w:spacing w:after="0" w:line="240" w:lineRule="auto"/>
              <w:jc w:val="right"/>
            </w:pPr>
            <w:r>
              <w:rPr>
                <w:sz w:val="18"/>
              </w:rPr>
              <w:t>93,5</w:t>
            </w:r>
          </w:p>
        </w:tc>
      </w:tr>
    </w:tbl>
    <w:p w:rsidR="001937AE" w:rsidRDefault="001937AE">
      <w:pPr>
        <w:spacing w:after="0"/>
      </w:pPr>
    </w:p>
    <w:p w:rsidR="001937AE" w:rsidRDefault="007C57CE">
      <w:r>
        <w:t>Nefinancijska imovina na dan 31.12.2024. godine iznosi 1.335.137,40 i u ukupnosti ne bilježi  odstupanja (97,8).</w:t>
      </w:r>
    </w:p>
    <w:p w:rsidR="001937AE" w:rsidRDefault="001937AE"/>
    <w:p w:rsidR="001937AE" w:rsidRDefault="007C57CE">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1</w:t>
            </w:r>
          </w:p>
        </w:tc>
        <w:tc>
          <w:tcPr>
            <w:tcW w:w="3180" w:type="dxa"/>
            <w:tcMar>
              <w:top w:w="0" w:type="dxa"/>
              <w:bottom w:w="0" w:type="dxa"/>
            </w:tcMar>
            <w:vAlign w:val="center"/>
          </w:tcPr>
          <w:p w:rsidR="001937AE" w:rsidRDefault="007C57CE">
            <w:pPr>
              <w:keepNext/>
              <w:keepLines/>
              <w:spacing w:after="0" w:line="240" w:lineRule="auto"/>
            </w:pPr>
            <w:r>
              <w:rPr>
                <w:sz w:val="18"/>
              </w:rPr>
              <w:t xml:space="preserve">Financijska imovina (šifre </w:t>
            </w:r>
            <w:r>
              <w:rPr>
                <w:sz w:val="18"/>
              </w:rPr>
              <w:t>11+12+13+14+15+16+17+19)</w:t>
            </w:r>
          </w:p>
        </w:tc>
        <w:tc>
          <w:tcPr>
            <w:tcW w:w="700" w:type="dxa"/>
            <w:tcMar>
              <w:top w:w="0" w:type="dxa"/>
              <w:bottom w:w="0" w:type="dxa"/>
            </w:tcMar>
            <w:vAlign w:val="center"/>
          </w:tcPr>
          <w:p w:rsidR="001937AE" w:rsidRDefault="007C57CE">
            <w:pPr>
              <w:keepNext/>
              <w:keepLines/>
              <w:spacing w:after="0" w:line="240" w:lineRule="auto"/>
            </w:pPr>
            <w:r>
              <w:rPr>
                <w:sz w:val="18"/>
              </w:rPr>
              <w:t>1</w:t>
            </w:r>
          </w:p>
        </w:tc>
        <w:tc>
          <w:tcPr>
            <w:tcW w:w="1860" w:type="dxa"/>
            <w:tcMar>
              <w:top w:w="0" w:type="dxa"/>
              <w:bottom w:w="0" w:type="dxa"/>
            </w:tcMar>
            <w:vAlign w:val="center"/>
          </w:tcPr>
          <w:p w:rsidR="001937AE" w:rsidRDefault="007C57CE">
            <w:pPr>
              <w:keepNext/>
              <w:keepLines/>
              <w:spacing w:after="0" w:line="240" w:lineRule="auto"/>
              <w:jc w:val="right"/>
            </w:pPr>
            <w:r>
              <w:rPr>
                <w:sz w:val="18"/>
              </w:rPr>
              <w:t>128.686,96</w:t>
            </w:r>
          </w:p>
        </w:tc>
        <w:tc>
          <w:tcPr>
            <w:tcW w:w="1860" w:type="dxa"/>
            <w:tcMar>
              <w:top w:w="0" w:type="dxa"/>
              <w:bottom w:w="0" w:type="dxa"/>
            </w:tcMar>
            <w:vAlign w:val="center"/>
          </w:tcPr>
          <w:p w:rsidR="001937AE" w:rsidRDefault="007C57CE">
            <w:pPr>
              <w:keepNext/>
              <w:keepLines/>
              <w:spacing w:after="0" w:line="240" w:lineRule="auto"/>
              <w:jc w:val="right"/>
            </w:pPr>
            <w:r>
              <w:rPr>
                <w:sz w:val="18"/>
              </w:rPr>
              <w:t>111.588,27</w:t>
            </w:r>
          </w:p>
        </w:tc>
        <w:tc>
          <w:tcPr>
            <w:tcW w:w="700" w:type="dxa"/>
            <w:tcMar>
              <w:top w:w="0" w:type="dxa"/>
              <w:bottom w:w="0" w:type="dxa"/>
            </w:tcMar>
            <w:vAlign w:val="center"/>
          </w:tcPr>
          <w:p w:rsidR="001937AE" w:rsidRDefault="007C57CE">
            <w:pPr>
              <w:keepNext/>
              <w:keepLines/>
              <w:spacing w:after="0" w:line="240" w:lineRule="auto"/>
              <w:jc w:val="right"/>
            </w:pPr>
            <w:r>
              <w:rPr>
                <w:sz w:val="18"/>
              </w:rPr>
              <w:t>86,7</w:t>
            </w:r>
          </w:p>
        </w:tc>
      </w:tr>
    </w:tbl>
    <w:p w:rsidR="001937AE" w:rsidRDefault="001937AE">
      <w:pPr>
        <w:spacing w:after="0"/>
      </w:pPr>
    </w:p>
    <w:p w:rsidR="001937AE" w:rsidRDefault="007C57CE">
      <w:r>
        <w:t>Financijska imovina na dan 31.12.2025.  iznosi 111.588,276 eura i u ukupnosti bilježi blagi pad indeksa (86,7). Značajna odstupanja su vidljiva na šifri 111 i 16.</w:t>
      </w:r>
    </w:p>
    <w:p w:rsidR="001937AE" w:rsidRDefault="001937AE"/>
    <w:p w:rsidR="001937AE" w:rsidRDefault="007C57CE">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111</w:t>
            </w:r>
          </w:p>
        </w:tc>
        <w:tc>
          <w:tcPr>
            <w:tcW w:w="3180" w:type="dxa"/>
            <w:tcMar>
              <w:top w:w="0" w:type="dxa"/>
              <w:bottom w:w="0" w:type="dxa"/>
            </w:tcMar>
            <w:vAlign w:val="center"/>
          </w:tcPr>
          <w:p w:rsidR="001937AE" w:rsidRDefault="007C57CE">
            <w:pPr>
              <w:keepNext/>
              <w:keepLines/>
              <w:spacing w:after="0" w:line="240" w:lineRule="auto"/>
            </w:pPr>
            <w:r>
              <w:rPr>
                <w:sz w:val="18"/>
              </w:rPr>
              <w:t>Novac u banci (šifre 1111 do 1114)</w:t>
            </w:r>
          </w:p>
        </w:tc>
        <w:tc>
          <w:tcPr>
            <w:tcW w:w="700" w:type="dxa"/>
            <w:tcMar>
              <w:top w:w="0" w:type="dxa"/>
              <w:bottom w:w="0" w:type="dxa"/>
            </w:tcMar>
            <w:vAlign w:val="center"/>
          </w:tcPr>
          <w:p w:rsidR="001937AE" w:rsidRDefault="007C57CE">
            <w:pPr>
              <w:keepNext/>
              <w:keepLines/>
              <w:spacing w:after="0" w:line="240" w:lineRule="auto"/>
            </w:pPr>
            <w:r>
              <w:rPr>
                <w:sz w:val="18"/>
              </w:rPr>
              <w:t>111</w:t>
            </w:r>
          </w:p>
        </w:tc>
        <w:tc>
          <w:tcPr>
            <w:tcW w:w="1860" w:type="dxa"/>
            <w:tcMar>
              <w:top w:w="0" w:type="dxa"/>
              <w:bottom w:w="0" w:type="dxa"/>
            </w:tcMar>
            <w:vAlign w:val="center"/>
          </w:tcPr>
          <w:p w:rsidR="001937AE" w:rsidRDefault="007C57CE">
            <w:pPr>
              <w:keepNext/>
              <w:keepLines/>
              <w:spacing w:after="0" w:line="240" w:lineRule="auto"/>
              <w:jc w:val="right"/>
            </w:pPr>
            <w:r>
              <w:rPr>
                <w:sz w:val="18"/>
              </w:rPr>
              <w:t>35.125,33</w:t>
            </w:r>
          </w:p>
        </w:tc>
        <w:tc>
          <w:tcPr>
            <w:tcW w:w="1860" w:type="dxa"/>
            <w:tcMar>
              <w:top w:w="0" w:type="dxa"/>
              <w:bottom w:w="0" w:type="dxa"/>
            </w:tcMar>
            <w:vAlign w:val="center"/>
          </w:tcPr>
          <w:p w:rsidR="001937AE" w:rsidRDefault="007C57CE">
            <w:pPr>
              <w:keepNext/>
              <w:keepLines/>
              <w:spacing w:after="0" w:line="240" w:lineRule="auto"/>
              <w:jc w:val="right"/>
            </w:pPr>
            <w:r>
              <w:rPr>
                <w:sz w:val="18"/>
              </w:rPr>
              <w:t>200,00</w:t>
            </w:r>
          </w:p>
        </w:tc>
        <w:tc>
          <w:tcPr>
            <w:tcW w:w="700" w:type="dxa"/>
            <w:tcMar>
              <w:top w:w="0" w:type="dxa"/>
              <w:bottom w:w="0" w:type="dxa"/>
            </w:tcMar>
            <w:vAlign w:val="center"/>
          </w:tcPr>
          <w:p w:rsidR="001937AE" w:rsidRDefault="007C57CE">
            <w:pPr>
              <w:keepNext/>
              <w:keepLines/>
              <w:spacing w:after="0" w:line="240" w:lineRule="auto"/>
              <w:jc w:val="right"/>
            </w:pPr>
            <w:r>
              <w:rPr>
                <w:sz w:val="18"/>
              </w:rPr>
              <w:t>0,6</w:t>
            </w:r>
          </w:p>
        </w:tc>
      </w:tr>
    </w:tbl>
    <w:p w:rsidR="001937AE" w:rsidRDefault="001937AE">
      <w:pPr>
        <w:spacing w:after="0"/>
      </w:pPr>
    </w:p>
    <w:p w:rsidR="001937AE" w:rsidRDefault="007C57CE">
      <w:r>
        <w:t>Novac u banci bilježi znatan pad indeksa (0,6) zbog prijelaza na poslovanje preko jedinstvenog računa Proračuna.</w:t>
      </w:r>
    </w:p>
    <w:p w:rsidR="001937AE" w:rsidRDefault="001937AE"/>
    <w:p w:rsidR="001937AE" w:rsidRDefault="007C57CE">
      <w:pPr>
        <w:keepNext/>
        <w:spacing w:line="240" w:lineRule="auto"/>
        <w:jc w:val="center"/>
      </w:pPr>
      <w:r>
        <w:rPr>
          <w:sz w:val="28"/>
        </w:rPr>
        <w:lastRenderedPageBreak/>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16</w:t>
            </w:r>
          </w:p>
        </w:tc>
        <w:tc>
          <w:tcPr>
            <w:tcW w:w="3180" w:type="dxa"/>
            <w:tcMar>
              <w:top w:w="0" w:type="dxa"/>
              <w:bottom w:w="0" w:type="dxa"/>
            </w:tcMar>
            <w:vAlign w:val="center"/>
          </w:tcPr>
          <w:p w:rsidR="001937AE" w:rsidRDefault="007C57CE">
            <w:pPr>
              <w:keepNext/>
              <w:keepLines/>
              <w:spacing w:after="0" w:line="240" w:lineRule="auto"/>
            </w:pPr>
            <w:r>
              <w:rPr>
                <w:sz w:val="18"/>
              </w:rPr>
              <w:t>Potraživanja za prihode poslovanja (šifre 161 do 163 + 164 do 168-169)</w:t>
            </w:r>
          </w:p>
        </w:tc>
        <w:tc>
          <w:tcPr>
            <w:tcW w:w="700" w:type="dxa"/>
            <w:tcMar>
              <w:top w:w="0" w:type="dxa"/>
              <w:bottom w:w="0" w:type="dxa"/>
            </w:tcMar>
            <w:vAlign w:val="center"/>
          </w:tcPr>
          <w:p w:rsidR="001937AE" w:rsidRDefault="007C57CE">
            <w:pPr>
              <w:keepNext/>
              <w:keepLines/>
              <w:spacing w:after="0" w:line="240" w:lineRule="auto"/>
            </w:pPr>
            <w:r>
              <w:rPr>
                <w:sz w:val="18"/>
              </w:rPr>
              <w:t>16</w:t>
            </w:r>
          </w:p>
        </w:tc>
        <w:tc>
          <w:tcPr>
            <w:tcW w:w="1860" w:type="dxa"/>
            <w:tcMar>
              <w:top w:w="0" w:type="dxa"/>
              <w:bottom w:w="0" w:type="dxa"/>
            </w:tcMar>
            <w:vAlign w:val="center"/>
          </w:tcPr>
          <w:p w:rsidR="001937AE" w:rsidRDefault="007C57CE">
            <w:pPr>
              <w:keepNext/>
              <w:keepLines/>
              <w:spacing w:after="0" w:line="240" w:lineRule="auto"/>
              <w:jc w:val="right"/>
            </w:pPr>
            <w:r>
              <w:rPr>
                <w:sz w:val="18"/>
              </w:rPr>
              <w:t>44.752,61</w:t>
            </w:r>
          </w:p>
        </w:tc>
        <w:tc>
          <w:tcPr>
            <w:tcW w:w="1860" w:type="dxa"/>
            <w:tcMar>
              <w:top w:w="0" w:type="dxa"/>
              <w:bottom w:w="0" w:type="dxa"/>
            </w:tcMar>
            <w:vAlign w:val="center"/>
          </w:tcPr>
          <w:p w:rsidR="001937AE" w:rsidRDefault="007C57CE">
            <w:pPr>
              <w:keepNext/>
              <w:keepLines/>
              <w:spacing w:after="0" w:line="240" w:lineRule="auto"/>
              <w:jc w:val="right"/>
            </w:pPr>
            <w:r>
              <w:rPr>
                <w:sz w:val="18"/>
              </w:rPr>
              <w:t>111.100,01</w:t>
            </w:r>
          </w:p>
        </w:tc>
        <w:tc>
          <w:tcPr>
            <w:tcW w:w="700" w:type="dxa"/>
            <w:tcMar>
              <w:top w:w="0" w:type="dxa"/>
              <w:bottom w:w="0" w:type="dxa"/>
            </w:tcMar>
            <w:vAlign w:val="center"/>
          </w:tcPr>
          <w:p w:rsidR="001937AE" w:rsidRDefault="007C57CE">
            <w:pPr>
              <w:keepNext/>
              <w:keepLines/>
              <w:spacing w:after="0" w:line="240" w:lineRule="auto"/>
              <w:jc w:val="right"/>
            </w:pPr>
            <w:r>
              <w:rPr>
                <w:sz w:val="18"/>
              </w:rPr>
              <w:t>248,3</w:t>
            </w:r>
          </w:p>
        </w:tc>
      </w:tr>
    </w:tbl>
    <w:p w:rsidR="001937AE" w:rsidRDefault="001937AE">
      <w:pPr>
        <w:spacing w:after="0"/>
      </w:pPr>
    </w:p>
    <w:p w:rsidR="001937AE" w:rsidRDefault="007C57CE">
      <w:r>
        <w:t>Potraživanja za prihode poslovanja bilježi znatan rast ( 248,3) poglavito zbog evidentiranih potraživanja za pomoći inozemnih valda  (šifra 1631)  za predfinancirane rashode iz EU projekta transplant.</w:t>
      </w:r>
    </w:p>
    <w:p w:rsidR="001937AE" w:rsidRDefault="001937AE"/>
    <w:p w:rsidR="001937AE" w:rsidRDefault="007C57CE">
      <w:pPr>
        <w:keepNext/>
        <w:spacing w:line="240" w:lineRule="auto"/>
        <w:jc w:val="center"/>
      </w:pPr>
      <w:r>
        <w:rPr>
          <w:sz w:val="28"/>
        </w:rPr>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sz w:val="18"/>
              </w:rPr>
              <w:t>OBVEZE I VLASTITI IZVORI (šifre 2+9)</w:t>
            </w:r>
          </w:p>
        </w:tc>
        <w:tc>
          <w:tcPr>
            <w:tcW w:w="700" w:type="dxa"/>
            <w:tcMar>
              <w:top w:w="0" w:type="dxa"/>
              <w:bottom w:w="0" w:type="dxa"/>
            </w:tcMar>
            <w:vAlign w:val="center"/>
          </w:tcPr>
          <w:p w:rsidR="001937AE" w:rsidRDefault="007C57CE">
            <w:pPr>
              <w:keepNext/>
              <w:keepLines/>
              <w:spacing w:after="0" w:line="240" w:lineRule="auto"/>
            </w:pPr>
            <w:r>
              <w:rPr>
                <w:sz w:val="18"/>
              </w:rPr>
              <w:t>B003</w:t>
            </w:r>
          </w:p>
        </w:tc>
        <w:tc>
          <w:tcPr>
            <w:tcW w:w="1860" w:type="dxa"/>
            <w:tcMar>
              <w:top w:w="0" w:type="dxa"/>
              <w:bottom w:w="0" w:type="dxa"/>
            </w:tcMar>
            <w:vAlign w:val="center"/>
          </w:tcPr>
          <w:p w:rsidR="001937AE" w:rsidRDefault="007C57CE">
            <w:pPr>
              <w:keepNext/>
              <w:keepLines/>
              <w:spacing w:after="0" w:line="240" w:lineRule="auto"/>
              <w:jc w:val="right"/>
            </w:pPr>
            <w:r>
              <w:rPr>
                <w:sz w:val="18"/>
              </w:rPr>
              <w:t>1.556.095,31</w:t>
            </w:r>
          </w:p>
        </w:tc>
        <w:tc>
          <w:tcPr>
            <w:tcW w:w="1860" w:type="dxa"/>
            <w:tcMar>
              <w:top w:w="0" w:type="dxa"/>
              <w:bottom w:w="0" w:type="dxa"/>
            </w:tcMar>
            <w:vAlign w:val="center"/>
          </w:tcPr>
          <w:p w:rsidR="001937AE" w:rsidRDefault="007C57CE">
            <w:pPr>
              <w:keepNext/>
              <w:keepLines/>
              <w:spacing w:after="0" w:line="240" w:lineRule="auto"/>
              <w:jc w:val="right"/>
            </w:pPr>
            <w:r>
              <w:rPr>
                <w:sz w:val="18"/>
              </w:rPr>
              <w:t>1.446.725,67</w:t>
            </w:r>
          </w:p>
        </w:tc>
        <w:tc>
          <w:tcPr>
            <w:tcW w:w="700" w:type="dxa"/>
            <w:tcMar>
              <w:top w:w="0" w:type="dxa"/>
              <w:bottom w:w="0" w:type="dxa"/>
            </w:tcMar>
            <w:vAlign w:val="center"/>
          </w:tcPr>
          <w:p w:rsidR="001937AE" w:rsidRDefault="007C57CE">
            <w:pPr>
              <w:keepNext/>
              <w:keepLines/>
              <w:spacing w:after="0" w:line="240" w:lineRule="auto"/>
              <w:jc w:val="right"/>
            </w:pPr>
            <w:r>
              <w:rPr>
                <w:sz w:val="18"/>
              </w:rPr>
              <w:t>93,0</w:t>
            </w:r>
          </w:p>
        </w:tc>
      </w:tr>
    </w:tbl>
    <w:p w:rsidR="001937AE" w:rsidRDefault="001937AE">
      <w:pPr>
        <w:spacing w:after="0"/>
      </w:pPr>
    </w:p>
    <w:p w:rsidR="001937AE" w:rsidRDefault="007C57CE">
      <w:r>
        <w:t>Obveze na dan 31.12.2025. iznose 67.389,75 eura a odnose se u najvećoj  mjeri na obveze za plaću i režijske troškove.</w:t>
      </w:r>
    </w:p>
    <w:p w:rsidR="001937AE" w:rsidRDefault="001937AE"/>
    <w:p w:rsidR="001937AE" w:rsidRDefault="007C57CE">
      <w:pPr>
        <w:keepNext/>
        <w:spacing w:line="240" w:lineRule="auto"/>
        <w:jc w:val="center"/>
      </w:pPr>
      <w:r>
        <w:rPr>
          <w:sz w:val="28"/>
        </w:rPr>
        <w:t>Bilješka 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27</w:t>
            </w:r>
          </w:p>
        </w:tc>
        <w:tc>
          <w:tcPr>
            <w:tcW w:w="3180" w:type="dxa"/>
            <w:tcMar>
              <w:top w:w="0" w:type="dxa"/>
              <w:bottom w:w="0" w:type="dxa"/>
            </w:tcMar>
            <w:vAlign w:val="center"/>
          </w:tcPr>
          <w:p w:rsidR="001937AE" w:rsidRDefault="007C57CE">
            <w:pPr>
              <w:keepNext/>
              <w:keepLines/>
              <w:spacing w:after="0" w:line="240" w:lineRule="auto"/>
            </w:pPr>
            <w:r>
              <w:rPr>
                <w:sz w:val="18"/>
              </w:rPr>
              <w:t>Obveze za predujmove, depozite, jamčevne pologe i tuđe prihode</w:t>
            </w:r>
          </w:p>
        </w:tc>
        <w:tc>
          <w:tcPr>
            <w:tcW w:w="700" w:type="dxa"/>
            <w:tcMar>
              <w:top w:w="0" w:type="dxa"/>
              <w:bottom w:w="0" w:type="dxa"/>
            </w:tcMar>
            <w:vAlign w:val="center"/>
          </w:tcPr>
          <w:p w:rsidR="001937AE" w:rsidRDefault="007C57CE">
            <w:pPr>
              <w:keepNext/>
              <w:keepLines/>
              <w:spacing w:after="0" w:line="240" w:lineRule="auto"/>
            </w:pPr>
            <w:r>
              <w:rPr>
                <w:sz w:val="18"/>
              </w:rPr>
              <w:t>27</w:t>
            </w:r>
          </w:p>
        </w:tc>
        <w:tc>
          <w:tcPr>
            <w:tcW w:w="1860" w:type="dxa"/>
            <w:tcMar>
              <w:top w:w="0" w:type="dxa"/>
              <w:bottom w:w="0" w:type="dxa"/>
            </w:tcMar>
            <w:vAlign w:val="center"/>
          </w:tcPr>
          <w:p w:rsidR="001937AE" w:rsidRDefault="007C57CE">
            <w:pPr>
              <w:keepNext/>
              <w:keepLines/>
              <w:spacing w:after="0" w:line="240" w:lineRule="auto"/>
              <w:jc w:val="right"/>
            </w:pPr>
            <w:r>
              <w:rPr>
                <w:sz w:val="18"/>
              </w:rPr>
              <w:t>691,91</w:t>
            </w:r>
          </w:p>
        </w:tc>
        <w:tc>
          <w:tcPr>
            <w:tcW w:w="1860" w:type="dxa"/>
            <w:tcMar>
              <w:top w:w="0" w:type="dxa"/>
              <w:bottom w:w="0" w:type="dxa"/>
            </w:tcMar>
            <w:vAlign w:val="center"/>
          </w:tcPr>
          <w:p w:rsidR="001937AE" w:rsidRDefault="007C57CE">
            <w:pPr>
              <w:keepNext/>
              <w:keepLines/>
              <w:spacing w:after="0" w:line="240" w:lineRule="auto"/>
              <w:jc w:val="right"/>
            </w:pPr>
            <w:r>
              <w:rPr>
                <w:sz w:val="18"/>
              </w:rPr>
              <w:t>4.277,91</w:t>
            </w:r>
          </w:p>
        </w:tc>
        <w:tc>
          <w:tcPr>
            <w:tcW w:w="700" w:type="dxa"/>
            <w:tcMar>
              <w:top w:w="0" w:type="dxa"/>
              <w:bottom w:w="0" w:type="dxa"/>
            </w:tcMar>
            <w:vAlign w:val="center"/>
          </w:tcPr>
          <w:p w:rsidR="001937AE" w:rsidRDefault="007C57CE">
            <w:pPr>
              <w:keepNext/>
              <w:keepLines/>
              <w:spacing w:after="0" w:line="240" w:lineRule="auto"/>
              <w:jc w:val="right"/>
            </w:pPr>
            <w:r>
              <w:rPr>
                <w:sz w:val="18"/>
              </w:rPr>
              <w:t>618,3</w:t>
            </w:r>
          </w:p>
        </w:tc>
      </w:tr>
    </w:tbl>
    <w:p w:rsidR="001937AE" w:rsidRDefault="001937AE">
      <w:pPr>
        <w:spacing w:after="0"/>
      </w:pPr>
    </w:p>
    <w:p w:rsidR="001937AE" w:rsidRDefault="007C57CE">
      <w:r>
        <w:t>Obveze za predujmove, depozite jamčevne pologe i tuđe prihode – znatno povećanje indeksa u odnosu na prethodnu 2024. godinu (618,3) a odnosi se na promjenu u metodologiji priznavanja EU prihoda i rashoda, uslijed čega se za ispravak prenesenog viška iskaza</w:t>
      </w:r>
      <w:r>
        <w:t>la obveza za primljeni predujam. </w:t>
      </w:r>
    </w:p>
    <w:p w:rsidR="001937AE" w:rsidRDefault="001937AE"/>
    <w:p w:rsidR="001937AE" w:rsidRDefault="007C57CE">
      <w:pPr>
        <w:keepNext/>
        <w:spacing w:line="240" w:lineRule="auto"/>
        <w:jc w:val="center"/>
      </w:pPr>
      <w:r>
        <w:rPr>
          <w:sz w:val="28"/>
        </w:rPr>
        <w:t>Bilješka 34.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922</w:t>
            </w:r>
          </w:p>
        </w:tc>
        <w:tc>
          <w:tcPr>
            <w:tcW w:w="3180" w:type="dxa"/>
            <w:tcMar>
              <w:top w:w="0" w:type="dxa"/>
              <w:bottom w:w="0" w:type="dxa"/>
            </w:tcMar>
            <w:vAlign w:val="center"/>
          </w:tcPr>
          <w:p w:rsidR="001937AE" w:rsidRDefault="007C57CE">
            <w:pPr>
              <w:keepNext/>
              <w:keepLines/>
              <w:spacing w:after="0" w:line="240" w:lineRule="auto"/>
            </w:pPr>
            <w:r>
              <w:rPr>
                <w:sz w:val="18"/>
              </w:rPr>
              <w:t>Rezultat - višak/manjak (šifre 9221-9222)</w:t>
            </w:r>
          </w:p>
        </w:tc>
        <w:tc>
          <w:tcPr>
            <w:tcW w:w="700" w:type="dxa"/>
            <w:tcMar>
              <w:top w:w="0" w:type="dxa"/>
              <w:bottom w:w="0" w:type="dxa"/>
            </w:tcMar>
            <w:vAlign w:val="center"/>
          </w:tcPr>
          <w:p w:rsidR="001937AE" w:rsidRDefault="007C57CE">
            <w:pPr>
              <w:keepNext/>
              <w:keepLines/>
              <w:spacing w:after="0" w:line="240" w:lineRule="auto"/>
            </w:pPr>
            <w:r>
              <w:rPr>
                <w:sz w:val="18"/>
              </w:rPr>
              <w:t>922</w:t>
            </w:r>
          </w:p>
        </w:tc>
        <w:tc>
          <w:tcPr>
            <w:tcW w:w="1860" w:type="dxa"/>
            <w:tcMar>
              <w:top w:w="0" w:type="dxa"/>
              <w:bottom w:w="0" w:type="dxa"/>
            </w:tcMar>
            <w:vAlign w:val="center"/>
          </w:tcPr>
          <w:p w:rsidR="001937AE" w:rsidRDefault="007C57CE">
            <w:pPr>
              <w:keepNext/>
              <w:keepLines/>
              <w:spacing w:after="0" w:line="240" w:lineRule="auto"/>
              <w:jc w:val="right"/>
            </w:pPr>
            <w:r>
              <w:rPr>
                <w:sz w:val="18"/>
              </w:rPr>
              <w:t>26.229,15</w:t>
            </w:r>
          </w:p>
        </w:tc>
        <w:tc>
          <w:tcPr>
            <w:tcW w:w="1860" w:type="dxa"/>
            <w:tcMar>
              <w:top w:w="0" w:type="dxa"/>
              <w:bottom w:w="0" w:type="dxa"/>
            </w:tcMar>
            <w:vAlign w:val="center"/>
          </w:tcPr>
          <w:p w:rsidR="001937AE" w:rsidRDefault="007C57CE">
            <w:pPr>
              <w:keepNext/>
              <w:keepLines/>
              <w:spacing w:after="0" w:line="240" w:lineRule="auto"/>
              <w:jc w:val="right"/>
            </w:pPr>
            <w:r>
              <w:rPr>
                <w:sz w:val="18"/>
              </w:rPr>
              <w:t>-14.516,80</w:t>
            </w:r>
          </w:p>
        </w:tc>
        <w:tc>
          <w:tcPr>
            <w:tcW w:w="700" w:type="dxa"/>
            <w:tcMar>
              <w:top w:w="0" w:type="dxa"/>
              <w:bottom w:w="0" w:type="dxa"/>
            </w:tcMar>
            <w:vAlign w:val="center"/>
          </w:tcPr>
          <w:p w:rsidR="001937AE" w:rsidRDefault="007C57CE">
            <w:pPr>
              <w:keepNext/>
              <w:keepLines/>
              <w:spacing w:after="0" w:line="240" w:lineRule="auto"/>
              <w:jc w:val="right"/>
            </w:pPr>
            <w:r>
              <w:rPr>
                <w:sz w:val="18"/>
              </w:rPr>
              <w:t>-55,3</w:t>
            </w:r>
          </w:p>
        </w:tc>
      </w:tr>
    </w:tbl>
    <w:p w:rsidR="001937AE" w:rsidRDefault="001937AE">
      <w:pPr>
        <w:spacing w:after="0"/>
      </w:pPr>
    </w:p>
    <w:p w:rsidR="001937AE" w:rsidRDefault="007C57CE">
      <w:r>
        <w:t>Šifra 922  -  evidentiran je manjak kao rezultat poslovanja za 2025.g. koji se sastoji od:</w:t>
      </w:r>
    </w:p>
    <w:p w:rsidR="001937AE" w:rsidRDefault="007C57CE">
      <w:r>
        <w:t>-          viška prihoda poslovanja (šifra 92211) u iznosu od 1.276,06 eura i</w:t>
      </w:r>
    </w:p>
    <w:p w:rsidR="001937AE" w:rsidRDefault="007C57CE">
      <w:r>
        <w:t xml:space="preserve">-          manjka prihoda od nefinancijske imovine (šifra 92222) u iznosu od 15.792,86 </w:t>
      </w:r>
      <w:r>
        <w:t>eura.  </w:t>
      </w:r>
    </w:p>
    <w:p w:rsidR="001937AE" w:rsidRDefault="001937AE"/>
    <w:p w:rsidR="001937AE" w:rsidRDefault="007C57CE">
      <w:pPr>
        <w:keepNext/>
        <w:spacing w:line="240" w:lineRule="auto"/>
        <w:jc w:val="center"/>
      </w:pPr>
      <w:r>
        <w:rPr>
          <w:sz w:val="28"/>
        </w:rPr>
        <w:t>Bilješka 35.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991</w:t>
            </w:r>
          </w:p>
        </w:tc>
        <w:tc>
          <w:tcPr>
            <w:tcW w:w="3180" w:type="dxa"/>
            <w:tcMar>
              <w:top w:w="0" w:type="dxa"/>
              <w:bottom w:w="0" w:type="dxa"/>
            </w:tcMar>
            <w:vAlign w:val="center"/>
          </w:tcPr>
          <w:p w:rsidR="001937AE" w:rsidRDefault="007C57CE">
            <w:pPr>
              <w:keepNext/>
              <w:keepLines/>
              <w:spacing w:after="0" w:line="240" w:lineRule="auto"/>
            </w:pPr>
            <w:r>
              <w:rPr>
                <w:sz w:val="18"/>
              </w:rPr>
              <w:t>Izvanbilančni zapisi - aktiva (šifra 996)</w:t>
            </w:r>
          </w:p>
        </w:tc>
        <w:tc>
          <w:tcPr>
            <w:tcW w:w="700" w:type="dxa"/>
            <w:tcMar>
              <w:top w:w="0" w:type="dxa"/>
              <w:bottom w:w="0" w:type="dxa"/>
            </w:tcMar>
            <w:vAlign w:val="center"/>
          </w:tcPr>
          <w:p w:rsidR="001937AE" w:rsidRDefault="007C57CE">
            <w:pPr>
              <w:keepNext/>
              <w:keepLines/>
              <w:spacing w:after="0" w:line="240" w:lineRule="auto"/>
            </w:pPr>
            <w:r>
              <w:rPr>
                <w:sz w:val="18"/>
              </w:rPr>
              <w:t>991</w:t>
            </w:r>
          </w:p>
        </w:tc>
        <w:tc>
          <w:tcPr>
            <w:tcW w:w="1860" w:type="dxa"/>
            <w:tcMar>
              <w:top w:w="0" w:type="dxa"/>
              <w:bottom w:w="0" w:type="dxa"/>
            </w:tcMar>
            <w:vAlign w:val="center"/>
          </w:tcPr>
          <w:p w:rsidR="001937AE" w:rsidRDefault="007C57CE">
            <w:pPr>
              <w:keepNext/>
              <w:keepLines/>
              <w:spacing w:after="0" w:line="240" w:lineRule="auto"/>
              <w:jc w:val="right"/>
            </w:pPr>
            <w:r>
              <w:rPr>
                <w:sz w:val="18"/>
              </w:rPr>
              <w:t>104.550,66</w:t>
            </w:r>
          </w:p>
        </w:tc>
        <w:tc>
          <w:tcPr>
            <w:tcW w:w="1860" w:type="dxa"/>
            <w:tcMar>
              <w:top w:w="0" w:type="dxa"/>
              <w:bottom w:w="0" w:type="dxa"/>
            </w:tcMar>
            <w:vAlign w:val="center"/>
          </w:tcPr>
          <w:p w:rsidR="001937AE" w:rsidRDefault="007C57CE">
            <w:pPr>
              <w:keepNext/>
              <w:keepLines/>
              <w:spacing w:after="0" w:line="240" w:lineRule="auto"/>
              <w:jc w:val="right"/>
            </w:pPr>
            <w:r>
              <w:rPr>
                <w:sz w:val="18"/>
              </w:rPr>
              <w:t>1.036.177,22</w:t>
            </w:r>
          </w:p>
        </w:tc>
        <w:tc>
          <w:tcPr>
            <w:tcW w:w="700" w:type="dxa"/>
            <w:tcMar>
              <w:top w:w="0" w:type="dxa"/>
              <w:bottom w:w="0" w:type="dxa"/>
            </w:tcMar>
            <w:vAlign w:val="center"/>
          </w:tcPr>
          <w:p w:rsidR="001937AE" w:rsidRDefault="007C57CE">
            <w:pPr>
              <w:keepNext/>
              <w:keepLines/>
              <w:spacing w:after="0" w:line="240" w:lineRule="auto"/>
              <w:jc w:val="right"/>
            </w:pPr>
            <w:r>
              <w:rPr>
                <w:sz w:val="18"/>
              </w:rPr>
              <w:t>991,1</w:t>
            </w:r>
          </w:p>
        </w:tc>
      </w:tr>
    </w:tbl>
    <w:p w:rsidR="001937AE" w:rsidRDefault="001937AE">
      <w:pPr>
        <w:spacing w:after="0"/>
      </w:pPr>
    </w:p>
    <w:p w:rsidR="001937AE" w:rsidRDefault="007C57CE">
      <w:r>
        <w:t>Izvanbilančni zapisi na dan 31.12.2025. iznose 1.038.177,22 eura i bilježe znatno povećanje indeksa zbog vođenja i praćenja izvanbilančno Ugovora o dodijeljenim bespovratnim sredstvima iz EU fondova. Osim toga, izvanbilančno se vode primljene i dane zadužn</w:t>
      </w:r>
      <w:r>
        <w:t>ice i  suveniri na komisiji. </w:t>
      </w:r>
    </w:p>
    <w:p w:rsidR="001937AE" w:rsidRDefault="001937AE"/>
    <w:p w:rsidR="001937AE" w:rsidRDefault="007C57CE">
      <w:pPr>
        <w:keepNext/>
        <w:spacing w:line="240" w:lineRule="auto"/>
        <w:jc w:val="center"/>
      </w:pPr>
      <w:r>
        <w:rPr>
          <w:b/>
          <w:sz w:val="28"/>
        </w:rPr>
        <w:t>Izvještaj o rashodima prema funkcijskoj klasifikaciji</w:t>
      </w:r>
    </w:p>
    <w:p w:rsidR="001937AE" w:rsidRDefault="007C57CE">
      <w:pPr>
        <w:keepNext/>
        <w:spacing w:line="240" w:lineRule="auto"/>
        <w:jc w:val="center"/>
      </w:pPr>
      <w:r>
        <w:rPr>
          <w:sz w:val="28"/>
        </w:rPr>
        <w:t>Bilješka 36.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082</w:t>
            </w:r>
          </w:p>
        </w:tc>
        <w:tc>
          <w:tcPr>
            <w:tcW w:w="3180" w:type="dxa"/>
            <w:tcMar>
              <w:top w:w="0" w:type="dxa"/>
              <w:bottom w:w="0" w:type="dxa"/>
            </w:tcMar>
            <w:vAlign w:val="center"/>
          </w:tcPr>
          <w:p w:rsidR="001937AE" w:rsidRDefault="007C57CE">
            <w:pPr>
              <w:keepNext/>
              <w:keepLines/>
              <w:spacing w:after="0" w:line="240" w:lineRule="auto"/>
            </w:pPr>
            <w:r>
              <w:rPr>
                <w:sz w:val="18"/>
              </w:rPr>
              <w:t>Službe kulture</w:t>
            </w:r>
          </w:p>
        </w:tc>
        <w:tc>
          <w:tcPr>
            <w:tcW w:w="700" w:type="dxa"/>
            <w:tcMar>
              <w:top w:w="0" w:type="dxa"/>
              <w:bottom w:w="0" w:type="dxa"/>
            </w:tcMar>
            <w:vAlign w:val="center"/>
          </w:tcPr>
          <w:p w:rsidR="001937AE" w:rsidRDefault="007C57CE">
            <w:pPr>
              <w:keepNext/>
              <w:keepLines/>
              <w:spacing w:after="0" w:line="240" w:lineRule="auto"/>
            </w:pPr>
            <w:r>
              <w:rPr>
                <w:sz w:val="18"/>
              </w:rPr>
              <w:t>082</w:t>
            </w:r>
          </w:p>
        </w:tc>
        <w:tc>
          <w:tcPr>
            <w:tcW w:w="1860" w:type="dxa"/>
            <w:tcMar>
              <w:top w:w="0" w:type="dxa"/>
              <w:bottom w:w="0" w:type="dxa"/>
            </w:tcMar>
            <w:vAlign w:val="center"/>
          </w:tcPr>
          <w:p w:rsidR="001937AE" w:rsidRDefault="007C57CE">
            <w:pPr>
              <w:keepNext/>
              <w:keepLines/>
              <w:spacing w:after="0" w:line="240" w:lineRule="auto"/>
              <w:jc w:val="right"/>
            </w:pPr>
            <w:r>
              <w:rPr>
                <w:sz w:val="18"/>
              </w:rPr>
              <w:t>756.993,87</w:t>
            </w:r>
          </w:p>
        </w:tc>
        <w:tc>
          <w:tcPr>
            <w:tcW w:w="1860" w:type="dxa"/>
            <w:tcMar>
              <w:top w:w="0" w:type="dxa"/>
              <w:bottom w:w="0" w:type="dxa"/>
            </w:tcMar>
            <w:vAlign w:val="center"/>
          </w:tcPr>
          <w:p w:rsidR="001937AE" w:rsidRDefault="007C57CE">
            <w:pPr>
              <w:keepNext/>
              <w:keepLines/>
              <w:spacing w:after="0" w:line="240" w:lineRule="auto"/>
              <w:jc w:val="right"/>
            </w:pPr>
            <w:r>
              <w:rPr>
                <w:sz w:val="18"/>
              </w:rPr>
              <w:t>1.273.316,28</w:t>
            </w:r>
          </w:p>
        </w:tc>
        <w:tc>
          <w:tcPr>
            <w:tcW w:w="700" w:type="dxa"/>
            <w:tcMar>
              <w:top w:w="0" w:type="dxa"/>
              <w:bottom w:w="0" w:type="dxa"/>
            </w:tcMar>
            <w:vAlign w:val="center"/>
          </w:tcPr>
          <w:p w:rsidR="001937AE" w:rsidRDefault="007C57CE">
            <w:pPr>
              <w:keepNext/>
              <w:keepLines/>
              <w:spacing w:after="0" w:line="240" w:lineRule="auto"/>
              <w:jc w:val="right"/>
            </w:pPr>
            <w:r>
              <w:rPr>
                <w:sz w:val="18"/>
              </w:rPr>
              <w:t>168,2</w:t>
            </w:r>
          </w:p>
        </w:tc>
      </w:tr>
    </w:tbl>
    <w:p w:rsidR="001937AE" w:rsidRDefault="001937AE">
      <w:pPr>
        <w:spacing w:after="0"/>
      </w:pPr>
    </w:p>
    <w:p w:rsidR="001937AE" w:rsidRDefault="007C57CE">
      <w:r>
        <w:t>U izvještajnom razdoblju izvršeno je ukupno 1.273.316,28 eura.</w:t>
      </w:r>
    </w:p>
    <w:p w:rsidR="001937AE" w:rsidRDefault="001937AE"/>
    <w:p w:rsidR="001937AE" w:rsidRDefault="007C57CE">
      <w:pPr>
        <w:keepNext/>
        <w:spacing w:line="240" w:lineRule="auto"/>
        <w:jc w:val="center"/>
      </w:pPr>
      <w:r>
        <w:rPr>
          <w:b/>
          <w:sz w:val="28"/>
        </w:rPr>
        <w:t>Promjene u vrijednosti i obujmu imovine i obveza</w:t>
      </w:r>
    </w:p>
    <w:p w:rsidR="001937AE" w:rsidRDefault="007C57CE">
      <w:pPr>
        <w:keepNext/>
        <w:spacing w:line="240" w:lineRule="auto"/>
        <w:jc w:val="center"/>
      </w:pPr>
      <w:r>
        <w:rPr>
          <w:sz w:val="28"/>
        </w:rPr>
        <w:t>Bilješka 37.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700"/>
        <w:gridCol w:w="3180"/>
        <w:gridCol w:w="700"/>
        <w:gridCol w:w="1860"/>
        <w:gridCol w:w="1860"/>
        <w:gridCol w:w="700"/>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 xml:space="preserve">Indeks </w:t>
            </w:r>
            <w:r>
              <w:rPr>
                <w:b/>
                <w:sz w:val="18"/>
              </w:rPr>
              <w:t>(%)</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7C57CE">
            <w:pPr>
              <w:keepNext/>
              <w:keepLines/>
              <w:spacing w:after="0" w:line="240" w:lineRule="auto"/>
            </w:pPr>
            <w:r>
              <w:rPr>
                <w:sz w:val="18"/>
              </w:rPr>
              <w:t>91511</w:t>
            </w:r>
          </w:p>
        </w:tc>
        <w:tc>
          <w:tcPr>
            <w:tcW w:w="3180" w:type="dxa"/>
            <w:tcMar>
              <w:top w:w="0" w:type="dxa"/>
              <w:bottom w:w="0" w:type="dxa"/>
            </w:tcMar>
            <w:vAlign w:val="center"/>
          </w:tcPr>
          <w:p w:rsidR="001937AE" w:rsidRDefault="007C57CE">
            <w:pPr>
              <w:keepNext/>
              <w:keepLines/>
              <w:spacing w:after="0" w:line="240" w:lineRule="auto"/>
            </w:pPr>
            <w:r>
              <w:rPr>
                <w:sz w:val="18"/>
              </w:rPr>
              <w:t>Promjene u vrijednosti imovine (šifre P001+P008)</w:t>
            </w:r>
          </w:p>
        </w:tc>
        <w:tc>
          <w:tcPr>
            <w:tcW w:w="700" w:type="dxa"/>
            <w:tcMar>
              <w:top w:w="0" w:type="dxa"/>
              <w:bottom w:w="0" w:type="dxa"/>
            </w:tcMar>
            <w:vAlign w:val="center"/>
          </w:tcPr>
          <w:p w:rsidR="001937AE" w:rsidRDefault="007C57CE">
            <w:pPr>
              <w:keepNext/>
              <w:keepLines/>
              <w:spacing w:after="0" w:line="240" w:lineRule="auto"/>
            </w:pPr>
            <w:r>
              <w:rPr>
                <w:sz w:val="18"/>
              </w:rPr>
              <w:t>91511</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1860" w:type="dxa"/>
            <w:tcMar>
              <w:top w:w="0" w:type="dxa"/>
              <w:bottom w:w="0" w:type="dxa"/>
            </w:tcMar>
            <w:vAlign w:val="center"/>
          </w:tcPr>
          <w:p w:rsidR="001937AE" w:rsidRDefault="007C57CE">
            <w:pPr>
              <w:keepNext/>
              <w:keepLines/>
              <w:spacing w:after="0" w:line="240" w:lineRule="auto"/>
              <w:jc w:val="right"/>
            </w:pPr>
            <w:r>
              <w:rPr>
                <w:sz w:val="18"/>
              </w:rPr>
              <w:t>157.703,02</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U promjenama u vrijednosti nefinancijske imovine zabilježen je iznos smanjenja od 157.703,02 eura i odgovara iznosu redovnog godišnjeg ispravka vrijednosti dugotrajne imovine na dan 31.12.2025. godine. </w:t>
      </w:r>
    </w:p>
    <w:p w:rsidR="001937AE" w:rsidRDefault="001937AE"/>
    <w:p w:rsidR="001937AE" w:rsidRDefault="007C57CE">
      <w:pPr>
        <w:keepNext/>
        <w:spacing w:line="240" w:lineRule="auto"/>
        <w:jc w:val="center"/>
      </w:pPr>
      <w:r>
        <w:rPr>
          <w:b/>
          <w:sz w:val="28"/>
        </w:rPr>
        <w:lastRenderedPageBreak/>
        <w:t>Izvještaj o obvezama</w:t>
      </w:r>
    </w:p>
    <w:p w:rsidR="001937AE" w:rsidRDefault="007C57CE">
      <w:pPr>
        <w:keepNext/>
        <w:spacing w:line="240" w:lineRule="auto"/>
        <w:jc w:val="center"/>
      </w:pPr>
      <w:r>
        <w:rPr>
          <w:sz w:val="28"/>
        </w:rPr>
        <w:t>Bilješka 38.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w:t>
            </w:r>
            <w:r>
              <w:rPr>
                <w:b/>
                <w:sz w:val="18"/>
              </w:rPr>
              <w:t>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sz w:val="18"/>
              </w:rPr>
              <w:t>Stanje obveza 1. siječnja (=stanju obveza iz Izvještaja o obvezama na 31. prosinca prethodne godine)</w:t>
            </w:r>
          </w:p>
        </w:tc>
        <w:tc>
          <w:tcPr>
            <w:tcW w:w="700" w:type="dxa"/>
            <w:tcMar>
              <w:top w:w="0" w:type="dxa"/>
              <w:bottom w:w="0" w:type="dxa"/>
            </w:tcMar>
            <w:vAlign w:val="center"/>
          </w:tcPr>
          <w:p w:rsidR="001937AE" w:rsidRDefault="007C57CE">
            <w:pPr>
              <w:keepNext/>
              <w:keepLines/>
              <w:spacing w:after="0" w:line="240" w:lineRule="auto"/>
            </w:pPr>
            <w:r>
              <w:rPr>
                <w:sz w:val="18"/>
              </w:rPr>
              <w:t>V001</w:t>
            </w:r>
          </w:p>
        </w:tc>
        <w:tc>
          <w:tcPr>
            <w:tcW w:w="1860" w:type="dxa"/>
            <w:tcMar>
              <w:top w:w="0" w:type="dxa"/>
              <w:bottom w:w="0" w:type="dxa"/>
            </w:tcMar>
            <w:vAlign w:val="center"/>
          </w:tcPr>
          <w:p w:rsidR="001937AE" w:rsidRDefault="007C57CE">
            <w:pPr>
              <w:keepNext/>
              <w:keepLines/>
              <w:spacing w:after="0" w:line="240" w:lineRule="auto"/>
              <w:jc w:val="right"/>
            </w:pPr>
            <w:r>
              <w:rPr>
                <w:sz w:val="18"/>
              </w:rPr>
              <w:t>56.339,90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Stanje obveza na početku izvještajnog razdoblja iznosi 56.339,90 eura a odnosi se na preuzete obveze u 2024. godini a plaćene početkom 2025.g.</w:t>
      </w:r>
    </w:p>
    <w:p w:rsidR="001937AE" w:rsidRDefault="001937AE"/>
    <w:p w:rsidR="001937AE" w:rsidRDefault="007C57CE">
      <w:pPr>
        <w:keepNext/>
        <w:spacing w:line="240" w:lineRule="auto"/>
        <w:jc w:val="center"/>
      </w:pPr>
      <w:r>
        <w:rPr>
          <w:sz w:val="28"/>
        </w:rPr>
        <w:t>Bilješka 39.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sz w:val="18"/>
              </w:rPr>
              <w:t xml:space="preserve">Stanje obveza na kraju izvještajnog </w:t>
            </w:r>
            <w:r>
              <w:rPr>
                <w:sz w:val="18"/>
              </w:rPr>
              <w:t>razdoblja (šifre V001+V002-V004) i (šifre V007+V009)</w:t>
            </w:r>
          </w:p>
        </w:tc>
        <w:tc>
          <w:tcPr>
            <w:tcW w:w="700" w:type="dxa"/>
            <w:tcMar>
              <w:top w:w="0" w:type="dxa"/>
              <w:bottom w:w="0" w:type="dxa"/>
            </w:tcMar>
            <w:vAlign w:val="center"/>
          </w:tcPr>
          <w:p w:rsidR="001937AE" w:rsidRDefault="007C57CE">
            <w:pPr>
              <w:keepNext/>
              <w:keepLines/>
              <w:spacing w:after="0" w:line="240" w:lineRule="auto"/>
            </w:pPr>
            <w:r>
              <w:rPr>
                <w:sz w:val="18"/>
              </w:rPr>
              <w:t>V006</w:t>
            </w:r>
          </w:p>
        </w:tc>
        <w:tc>
          <w:tcPr>
            <w:tcW w:w="1860" w:type="dxa"/>
            <w:tcMar>
              <w:top w:w="0" w:type="dxa"/>
              <w:bottom w:w="0" w:type="dxa"/>
            </w:tcMar>
            <w:vAlign w:val="center"/>
          </w:tcPr>
          <w:p w:rsidR="001937AE" w:rsidRDefault="007C57CE">
            <w:pPr>
              <w:keepNext/>
              <w:keepLines/>
              <w:spacing w:after="0" w:line="240" w:lineRule="auto"/>
              <w:jc w:val="right"/>
            </w:pPr>
            <w:r>
              <w:rPr>
                <w:sz w:val="18"/>
              </w:rPr>
              <w:t>67.351,81</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Stanje obveza na kraju izvještajnog razdoblja iznosi 67.351,81 eura a odnosi se na obveze za plaću i materijalne rashode iz prosinca 2025. godine, plaćene u 2026. godini. Iznos iskazanih obveza u obrascu Obveze razlikuje se od onih u obrascu Bilanca za 37,</w:t>
      </w:r>
      <w:r>
        <w:t>94 eura koliko iznosi neiskorišteni iznos popusta (ENC) knjižen na odgođeno plaćanje rashoda i prihode budućih razdoblja (29).</w:t>
      </w:r>
    </w:p>
    <w:p w:rsidR="001937AE" w:rsidRDefault="001937AE"/>
    <w:p w:rsidR="001937AE" w:rsidRDefault="007C57CE">
      <w:pPr>
        <w:keepNext/>
        <w:spacing w:line="240" w:lineRule="auto"/>
        <w:jc w:val="center"/>
      </w:pPr>
      <w:r>
        <w:rPr>
          <w:sz w:val="28"/>
        </w:rPr>
        <w:t>Bilješka 40.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000" w:firstRow="0" w:lastRow="0" w:firstColumn="0" w:lastColumn="0" w:noHBand="0" w:noVBand="0"/>
      </w:tblPr>
      <w:tblGrid>
        <w:gridCol w:w="883"/>
        <w:gridCol w:w="4008"/>
        <w:gridCol w:w="882"/>
        <w:gridCol w:w="2345"/>
        <w:gridCol w:w="882"/>
      </w:tblGrid>
      <w:tr w:rsidR="001937AE">
        <w:tblPrEx>
          <w:tblCellMar>
            <w:top w:w="0" w:type="dxa"/>
            <w:bottom w:w="0" w:type="dxa"/>
          </w:tblCellMar>
        </w:tblPrEx>
        <w:trPr>
          <w:cantSplit/>
        </w:trPr>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rsidR="001937AE" w:rsidRDefault="007C57CE">
            <w:pPr>
              <w:keepNext/>
              <w:keepLines/>
              <w:spacing w:after="0" w:line="240" w:lineRule="auto"/>
              <w:jc w:val="center"/>
            </w:pPr>
            <w:r>
              <w:rPr>
                <w:b/>
                <w:sz w:val="18"/>
              </w:rPr>
              <w:t>Indeks (%)</w:t>
            </w:r>
          </w:p>
        </w:tc>
      </w:tr>
      <w:tr w:rsidR="001937AE">
        <w:tblPrEx>
          <w:tblCellMar>
            <w:top w:w="0" w:type="dxa"/>
            <w:bottom w:w="0" w:type="dxa"/>
          </w:tblCellMar>
        </w:tblPrEx>
        <w:trPr>
          <w:cantSplit/>
          <w:trHeight w:val="560"/>
        </w:trPr>
        <w:tc>
          <w:tcPr>
            <w:tcW w:w="700" w:type="dxa"/>
            <w:tcMar>
              <w:top w:w="0" w:type="dxa"/>
              <w:bottom w:w="0" w:type="dxa"/>
            </w:tcMar>
            <w:vAlign w:val="center"/>
          </w:tcPr>
          <w:p w:rsidR="001937AE" w:rsidRDefault="001937AE">
            <w:pPr>
              <w:keepNext/>
              <w:keepLines/>
              <w:spacing w:after="0" w:line="240" w:lineRule="auto"/>
            </w:pPr>
          </w:p>
        </w:tc>
        <w:tc>
          <w:tcPr>
            <w:tcW w:w="3180" w:type="dxa"/>
            <w:tcMar>
              <w:top w:w="0" w:type="dxa"/>
              <w:bottom w:w="0" w:type="dxa"/>
            </w:tcMar>
            <w:vAlign w:val="center"/>
          </w:tcPr>
          <w:p w:rsidR="001937AE" w:rsidRDefault="007C57CE">
            <w:pPr>
              <w:keepNext/>
              <w:keepLines/>
              <w:spacing w:after="0" w:line="240" w:lineRule="auto"/>
            </w:pPr>
            <w:r>
              <w:rPr>
                <w:sz w:val="18"/>
              </w:rPr>
              <w:t xml:space="preserve">Stanje dospjelih obveza na kraju izvještajnog razdoblja </w:t>
            </w:r>
            <w:r>
              <w:rPr>
                <w:sz w:val="18"/>
              </w:rPr>
              <w:t>(šifre V008+D23+D24 + 'D dio 25,26' + D27)</w:t>
            </w:r>
          </w:p>
        </w:tc>
        <w:tc>
          <w:tcPr>
            <w:tcW w:w="700" w:type="dxa"/>
            <w:tcMar>
              <w:top w:w="0" w:type="dxa"/>
              <w:bottom w:w="0" w:type="dxa"/>
            </w:tcMar>
            <w:vAlign w:val="center"/>
          </w:tcPr>
          <w:p w:rsidR="001937AE" w:rsidRDefault="007C57CE">
            <w:pPr>
              <w:keepNext/>
              <w:keepLines/>
              <w:spacing w:after="0" w:line="240" w:lineRule="auto"/>
            </w:pPr>
            <w:r>
              <w:rPr>
                <w:sz w:val="18"/>
              </w:rPr>
              <w:t>V007</w:t>
            </w:r>
          </w:p>
        </w:tc>
        <w:tc>
          <w:tcPr>
            <w:tcW w:w="1860" w:type="dxa"/>
            <w:tcMar>
              <w:top w:w="0" w:type="dxa"/>
              <w:bottom w:w="0" w:type="dxa"/>
            </w:tcMar>
            <w:vAlign w:val="center"/>
          </w:tcPr>
          <w:p w:rsidR="001937AE" w:rsidRDefault="007C57CE">
            <w:pPr>
              <w:keepNext/>
              <w:keepLines/>
              <w:spacing w:after="0" w:line="240" w:lineRule="auto"/>
              <w:jc w:val="right"/>
            </w:pPr>
            <w:r>
              <w:rPr>
                <w:sz w:val="18"/>
              </w:rPr>
              <w:t>0,00</w:t>
            </w:r>
          </w:p>
        </w:tc>
        <w:tc>
          <w:tcPr>
            <w:tcW w:w="700" w:type="dxa"/>
            <w:tcMar>
              <w:top w:w="0" w:type="dxa"/>
              <w:bottom w:w="0" w:type="dxa"/>
            </w:tcMar>
            <w:vAlign w:val="center"/>
          </w:tcPr>
          <w:p w:rsidR="001937AE" w:rsidRDefault="007C57CE">
            <w:pPr>
              <w:keepNext/>
              <w:keepLines/>
              <w:spacing w:after="0" w:line="240" w:lineRule="auto"/>
              <w:jc w:val="right"/>
            </w:pPr>
            <w:r>
              <w:rPr>
                <w:sz w:val="18"/>
              </w:rPr>
              <w:t>-</w:t>
            </w:r>
          </w:p>
        </w:tc>
      </w:tr>
    </w:tbl>
    <w:p w:rsidR="001937AE" w:rsidRDefault="001937AE">
      <w:pPr>
        <w:spacing w:after="0"/>
      </w:pPr>
    </w:p>
    <w:p w:rsidR="001937AE" w:rsidRDefault="007C57CE">
      <w:r>
        <w:t>Prirodoslovni muzej Rijeka nema dospjelih obveza na dan 31.12.25. </w:t>
      </w:r>
    </w:p>
    <w:p w:rsidR="001937AE" w:rsidRDefault="001937AE"/>
    <w:p w:rsidR="001937AE" w:rsidRDefault="007C57CE">
      <w:pPr>
        <w:keepNext/>
        <w:spacing w:line="240" w:lineRule="auto"/>
        <w:jc w:val="center"/>
      </w:pPr>
      <w:r>
        <w:rPr>
          <w:sz w:val="28"/>
        </w:rPr>
        <w:t>Bilješka 41.</w:t>
      </w:r>
    </w:p>
    <w:p w:rsidR="001937AE" w:rsidRDefault="007C57CE">
      <w:pPr>
        <w:spacing w:line="240" w:lineRule="auto"/>
        <w:jc w:val="both"/>
      </w:pPr>
      <w:r>
        <w:rPr>
          <w:b/>
        </w:rPr>
        <w:t>EU izvještaj</w:t>
      </w:r>
    </w:p>
    <w:p w:rsidR="001937AE" w:rsidRDefault="007C57CE">
      <w:r>
        <w:rPr>
          <w:b/>
        </w:rPr>
        <w:t>510 – PROGRAMI UNIJE</w:t>
      </w:r>
      <w:r>
        <w:t xml:space="preserve">  - prikazani su podaci vezani za EU projekt FASIH - Future Arts and Science Industrial Heritage.</w:t>
      </w:r>
    </w:p>
    <w:p w:rsidR="001937AE" w:rsidRDefault="007C57CE">
      <w:r>
        <w:t>63112  - Tekuće pomoći od inozemnih vlada izvan EU – odnosi se na prihod ostvaren u 2024. godini i prenesen u 2025. godinu u vidu prenesenog viška prihoda. Us</w:t>
      </w:r>
      <w:r>
        <w:t>lijed nove metodologije priznavanja prihoda i rashoda, višak je korigiran i iskazan je prihod u 2025. g kojim su se pokrili izvršeni rashodi.</w:t>
      </w:r>
    </w:p>
    <w:p w:rsidR="001937AE" w:rsidRDefault="007C57CE">
      <w:r>
        <w:t xml:space="preserve">Rashodi i izdaci – prikazani su rashodi pokriveni gore navedenim prihodom, kao i oni predfinancirani iz vlastitih </w:t>
      </w:r>
      <w:r>
        <w:t>izvora.</w:t>
      </w:r>
    </w:p>
    <w:p w:rsidR="001937AE" w:rsidRDefault="007C57CE">
      <w:r>
        <w:lastRenderedPageBreak/>
        <w:t>16313 – Potraživanja za tekuće pomoći od inozemnih vlada izvan EU – iskazan je preostali iznos potraživanja u sklopu EU projekta FASIH koji je završio u srpnju ove godine.</w:t>
      </w:r>
    </w:p>
    <w:p w:rsidR="001937AE" w:rsidRDefault="007C57CE">
      <w:r>
        <w:rPr>
          <w:b/>
        </w:rPr>
        <w:t>563 – EUROPSKI FOND ZA REGIONALNI RAZVOJ</w:t>
      </w:r>
      <w:r>
        <w:t xml:space="preserve"> – prikazani su podaci vezani za EU </w:t>
      </w:r>
      <w:r>
        <w:t>projekt INTERREG SLO-HR transPlant.</w:t>
      </w:r>
    </w:p>
    <w:p w:rsidR="001937AE" w:rsidRDefault="007C57CE">
      <w:r>
        <w:t>6 – Prihodi poslovanja – Iskazani su ukupni iznos doznačenih EU sredstava po 1. i 2. Izvještaju u iznosu od 322.798,85 eura, iznos od 1.350,00 eura odnosno dijelu prenesenog viška iz 2024. godine kojim su se pokrili rash</w:t>
      </w:r>
      <w:r>
        <w:t>odi i za koji se iznos priznao prihod, te 59.310,74 eura prihoda iz nadležnog proračuna za predfinanciranje rashoda EU projekta.</w:t>
      </w:r>
    </w:p>
    <w:p w:rsidR="001937AE" w:rsidRDefault="007C57CE">
      <w:r>
        <w:t>Rashodi i izdaci – prikazani su rashodi pokriveni gore navedenim EU sredstvima, kao i oni predfinancirani iz proračuna Primorsk</w:t>
      </w:r>
      <w:r>
        <w:t>o – goranske županije.</w:t>
      </w:r>
    </w:p>
    <w:p w:rsidR="001937AE" w:rsidRDefault="007C57CE">
      <w:r>
        <w:t>1631 – Potraživanja za pomoći od inozemnih vlada – iskazan je iznos potraživanja po 3. Izvještaju za koji se očekuje refundacija u prvom tromjesečju ove godine.</w:t>
      </w:r>
    </w:p>
    <w:p w:rsidR="001937AE" w:rsidRDefault="007C57CE">
      <w:r>
        <w:t>27511  - Obveze za EU predujmove – iskazano je 3.450,00 eura odnosno  iz</w:t>
      </w:r>
      <w:r>
        <w:t>nos od 4.800,00 eura koliko je ukupno iznosio preneseni višak iz 2024. godine. </w:t>
      </w:r>
    </w:p>
    <w:p w:rsidR="001937AE" w:rsidRDefault="007C57CE">
      <w:r>
        <w:t>99171 – Potraživanja po ugovorima o dodijeljenim bespovratnim sredstvima iz EU fondova – iskazan je iznos preostale vrijednosti Ugovora o bespovratnim sredstvima u sklopu EU pr</w:t>
      </w:r>
      <w:r>
        <w:t>ojekta transPlant koji se vodi i prati u izvanbilančnim evidencijama.</w:t>
      </w:r>
    </w:p>
    <w:p w:rsidR="001937AE" w:rsidRDefault="001937AE"/>
    <w:sectPr w:rsidR="001937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7AE"/>
    <w:rsid w:val="001937AE"/>
    <w:rsid w:val="007C57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F3616-7CE0-460F-93A4-800A2CB6D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3889</Words>
  <Characters>22170</Characters>
  <Application>Microsoft Office Word</Application>
  <DocSecurity>0</DocSecurity>
  <Lines>184</Lines>
  <Paragraphs>52</Paragraphs>
  <ScaleCrop>false</ScaleCrop>
  <Company>PMRi</Company>
  <LinksUpToDate>false</LinksUpToDate>
  <CharactersWithSpaces>26007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Tea</cp:lastModifiedBy>
  <cp:revision>2</cp:revision>
  <dcterms:created xsi:type="dcterms:W3CDTF">2026-02-02T11:35:00Z</dcterms:created>
  <dcterms:modified xsi:type="dcterms:W3CDTF">2026-02-02T11:35:00Z</dcterms:modified>
</cp:coreProperties>
</file>